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7ACD" w14:textId="004EA865" w:rsidR="00006434" w:rsidRDefault="00006434" w:rsidP="001F1B3E">
      <w:pPr>
        <w:pStyle w:val="Heading1"/>
        <w:rPr>
          <w:noProof/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0011681A" wp14:editId="649EDC38">
            <wp:simplePos x="0" y="0"/>
            <wp:positionH relativeFrom="page">
              <wp:align>left</wp:align>
            </wp:positionH>
            <wp:positionV relativeFrom="paragraph">
              <wp:posOffset>-722151</wp:posOffset>
            </wp:positionV>
            <wp:extent cx="7555865" cy="216027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6290D" w14:textId="77777777" w:rsidR="006A515A" w:rsidRDefault="006A515A" w:rsidP="006A515A">
      <w:pPr>
        <w:pStyle w:val="Heading3"/>
        <w:rPr>
          <w:noProof/>
        </w:rPr>
      </w:pPr>
    </w:p>
    <w:p w14:paraId="36FFA768" w14:textId="77777777" w:rsidR="006A515A" w:rsidRPr="006A515A" w:rsidRDefault="006A515A" w:rsidP="006A515A">
      <w:pPr>
        <w:rPr>
          <w:lang w:eastAsia="en-US"/>
        </w:rPr>
      </w:pPr>
    </w:p>
    <w:p w14:paraId="27DECA49" w14:textId="30F19C5C" w:rsidR="001F1B3E" w:rsidRPr="00E85E95" w:rsidRDefault="00F05841" w:rsidP="006A515A">
      <w:pPr>
        <w:pStyle w:val="Heading1"/>
        <w:spacing w:before="720"/>
      </w:pPr>
      <w:r>
        <w:rPr>
          <w:noProof/>
          <w:lang w:eastAsia="en-NZ"/>
        </w:rPr>
        <w:t>Learner Component Performance Element – Schedule of Payments 2025</w:t>
      </w:r>
    </w:p>
    <w:p w14:paraId="2903228B" w14:textId="7E35DFD7" w:rsidR="001F1B3E" w:rsidRDefault="0027200C" w:rsidP="001F1B3E">
      <w:pPr>
        <w:pStyle w:val="IntroText"/>
      </w:pPr>
      <w:r>
        <w:t>If you receive more than $100k learner component funding, you need to submit tailored milestones to us for the performance element. P</w:t>
      </w:r>
      <w:r w:rsidRPr="0027200C">
        <w:t xml:space="preserve">lease complete </w:t>
      </w:r>
      <w:r>
        <w:t>the table on the last page</w:t>
      </w:r>
      <w:r w:rsidRPr="0027200C">
        <w:t xml:space="preserve"> and submit it into your </w:t>
      </w:r>
      <w:hyperlink r:id="rId14" w:history="1">
        <w:r w:rsidRPr="0027200C">
          <w:rPr>
            <w:rStyle w:val="Hyperlink"/>
          </w:rPr>
          <w:t>DXP Ngā Kete</w:t>
        </w:r>
      </w:hyperlink>
      <w:r w:rsidRPr="0027200C">
        <w:t xml:space="preserve"> by </w:t>
      </w:r>
      <w:r w:rsidRPr="00396EB2">
        <w:rPr>
          <w:b/>
          <w:bCs/>
        </w:rPr>
        <w:t>5pm</w:t>
      </w:r>
      <w:r w:rsidR="00E9463C" w:rsidRPr="00396EB2">
        <w:rPr>
          <w:b/>
          <w:bCs/>
        </w:rPr>
        <w:t xml:space="preserve"> on</w:t>
      </w:r>
      <w:r w:rsidRPr="00396EB2">
        <w:rPr>
          <w:b/>
          <w:bCs/>
        </w:rPr>
        <w:t xml:space="preserve"> </w:t>
      </w:r>
      <w:r w:rsidR="00396EB2" w:rsidRPr="00396EB2">
        <w:rPr>
          <w:b/>
          <w:bCs/>
        </w:rPr>
        <w:t>12</w:t>
      </w:r>
      <w:r w:rsidRPr="00396EB2">
        <w:rPr>
          <w:b/>
          <w:bCs/>
        </w:rPr>
        <w:t xml:space="preserve"> </w:t>
      </w:r>
      <w:r w:rsidR="00852A6C" w:rsidRPr="00396EB2">
        <w:rPr>
          <w:b/>
          <w:bCs/>
        </w:rPr>
        <w:t xml:space="preserve">November </w:t>
      </w:r>
      <w:r w:rsidRPr="00396EB2">
        <w:rPr>
          <w:b/>
          <w:bCs/>
        </w:rPr>
        <w:t>2024</w:t>
      </w:r>
      <w:r w:rsidRPr="0027200C">
        <w:t>.</w:t>
      </w:r>
    </w:p>
    <w:p w14:paraId="061DA4E6" w14:textId="4C1E88B3" w:rsidR="00F05841" w:rsidRPr="00F05841" w:rsidRDefault="00F05841" w:rsidP="00F05841">
      <w:pPr>
        <w:pStyle w:val="ListParagraph"/>
      </w:pPr>
      <w:r w:rsidRPr="00F05841">
        <w:t>You must submit milestones to receive learner component performance element funding</w:t>
      </w:r>
      <w:r w:rsidR="0027200C">
        <w:t xml:space="preserve"> if you receive</w:t>
      </w:r>
      <w:r w:rsidR="00117A16">
        <w:t xml:space="preserve"> equal to or</w:t>
      </w:r>
      <w:r w:rsidR="0027200C">
        <w:t xml:space="preserve"> more than $100k in learner component funding</w:t>
      </w:r>
      <w:r w:rsidRPr="00F05841">
        <w:t>.</w:t>
      </w:r>
    </w:p>
    <w:p w14:paraId="3A4BD270" w14:textId="231380D5" w:rsidR="00F05841" w:rsidRPr="00F05841" w:rsidRDefault="00F05841" w:rsidP="00F05841">
      <w:pPr>
        <w:pStyle w:val="ListParagraph"/>
      </w:pPr>
      <w:r w:rsidRPr="00F05841">
        <w:t xml:space="preserve">If you have a Learner Success Plan (LSP), we expect these milestones </w:t>
      </w:r>
      <w:r>
        <w:t>will</w:t>
      </w:r>
      <w:r w:rsidRPr="00F05841">
        <w:t xml:space="preserve"> align with this. Otherwise, we expect these milestones to reflect general educational performance commitments.</w:t>
      </w:r>
    </w:p>
    <w:p w14:paraId="0C60477D" w14:textId="35491B2F" w:rsidR="00F05841" w:rsidRDefault="00F05841" w:rsidP="00F05841">
      <w:pPr>
        <w:pStyle w:val="ListParagraph"/>
      </w:pPr>
      <w:r w:rsidRPr="00F05841">
        <w:t xml:space="preserve">TEC will review your milestones, and we may come back to you with questions or suggestions for modification. </w:t>
      </w:r>
      <w:r w:rsidR="00852A6C">
        <w:t xml:space="preserve">After this, </w:t>
      </w:r>
      <w:r w:rsidR="00CF517C">
        <w:t>we will send you</w:t>
      </w:r>
      <w:r w:rsidR="00852A6C">
        <w:t xml:space="preserve"> </w:t>
      </w:r>
      <w:r w:rsidR="005A40D6">
        <w:t xml:space="preserve">the </w:t>
      </w:r>
      <w:r w:rsidR="00852A6C">
        <w:t>confirmed milestones.</w:t>
      </w:r>
    </w:p>
    <w:p w14:paraId="16862144" w14:textId="5218AE41" w:rsidR="00402E07" w:rsidRDefault="00402E07" w:rsidP="00201717">
      <w:pPr>
        <w:pStyle w:val="Heading2"/>
      </w:pPr>
      <w:r>
        <w:t>Minister’s priorities for the learner component</w:t>
      </w:r>
    </w:p>
    <w:p w14:paraId="4CEFA8AC" w14:textId="51FF5249" w:rsidR="00201717" w:rsidRDefault="00201717" w:rsidP="00201717">
      <w:pPr>
        <w:rPr>
          <w:lang w:eastAsia="en-US"/>
        </w:rPr>
      </w:pPr>
      <w:r>
        <w:rPr>
          <w:lang w:eastAsia="en-US"/>
        </w:rPr>
        <w:t>The Minister</w:t>
      </w:r>
      <w:r w:rsidR="000667C0">
        <w:rPr>
          <w:lang w:eastAsia="en-US"/>
        </w:rPr>
        <w:t xml:space="preserve"> for Tertiary Education and Skills’</w:t>
      </w:r>
      <w:r>
        <w:rPr>
          <w:lang w:eastAsia="en-US"/>
        </w:rPr>
        <w:t xml:space="preserve"> priorities for the learner component are for TEOs to build capability and demonstrate how they will deliver results for all learners (including, where relevant, in supporting employers who deliver work-based learning) by committing to the priorities of the Tertiary Education Strategy.</w:t>
      </w:r>
    </w:p>
    <w:p w14:paraId="06A6DCB8" w14:textId="175913AF" w:rsidR="00201717" w:rsidRDefault="00201717" w:rsidP="00201717">
      <w:pPr>
        <w:rPr>
          <w:lang w:eastAsia="en-US"/>
        </w:rPr>
      </w:pPr>
      <w:r>
        <w:rPr>
          <w:lang w:eastAsia="en-US"/>
        </w:rPr>
        <w:t>Over time, the Minister expects TEOs will develop capability and capacity so that learners:</w:t>
      </w:r>
    </w:p>
    <w:p w14:paraId="05B9587E" w14:textId="176487E1" w:rsidR="00201717" w:rsidRDefault="00201717" w:rsidP="002708AE">
      <w:pPr>
        <w:pStyle w:val="ListParagraph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>are well supported by TEOs and employers to enrol in vocational education and training (VET)</w:t>
      </w:r>
      <w:r w:rsidR="00E9463C">
        <w:rPr>
          <w:lang w:eastAsia="en-US"/>
        </w:rPr>
        <w:t xml:space="preserve">, </w:t>
      </w:r>
      <w:r>
        <w:rPr>
          <w:lang w:eastAsia="en-US"/>
        </w:rPr>
        <w:t>and</w:t>
      </w:r>
    </w:p>
    <w:p w14:paraId="3845CBF1" w14:textId="5211F4BB" w:rsidR="00201717" w:rsidRPr="00201717" w:rsidRDefault="00201717" w:rsidP="002708AE">
      <w:pPr>
        <w:pStyle w:val="ListParagraph"/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>have increased completion rates across all VET qualifications.</w:t>
      </w:r>
    </w:p>
    <w:p w14:paraId="4DABEEFC" w14:textId="124FB2AC" w:rsidR="001F1B3E" w:rsidRPr="00901D50" w:rsidRDefault="00F05841" w:rsidP="00F05841">
      <w:pPr>
        <w:pStyle w:val="Heading2"/>
      </w:pPr>
      <w:r>
        <w:t>Guidance on milestone development</w:t>
      </w:r>
    </w:p>
    <w:p w14:paraId="2E7CF887" w14:textId="06BD7984" w:rsidR="00F05841" w:rsidRDefault="00F05841" w:rsidP="00F05841">
      <w:pPr>
        <w:spacing w:after="0"/>
      </w:pPr>
      <w:r>
        <w:t xml:space="preserve">We expect you to include milestones to cover 2025 only. Please include </w:t>
      </w:r>
      <w:r w:rsidR="00E9463C">
        <w:t>no more than</w:t>
      </w:r>
      <w:r>
        <w:t xml:space="preserve"> two milestones. </w:t>
      </w:r>
    </w:p>
    <w:p w14:paraId="2FB7D626" w14:textId="108DE453" w:rsidR="00F05841" w:rsidRDefault="00F05841" w:rsidP="001F1B3E">
      <w:r>
        <w:t xml:space="preserve">The sum of your milestones should equal 50 percent either side of mid-year (January to June, July to end of December). </w:t>
      </w:r>
    </w:p>
    <w:p w14:paraId="0ECD2C93" w14:textId="77777777" w:rsidR="00E9463C" w:rsidRDefault="00F05841" w:rsidP="00F05841">
      <w:pPr>
        <w:pStyle w:val="Heading3"/>
      </w:pPr>
      <w:r>
        <w:t xml:space="preserve">What makes a good milestone? </w:t>
      </w:r>
    </w:p>
    <w:p w14:paraId="3B12B4A8" w14:textId="0972A914" w:rsidR="00F05841" w:rsidRDefault="00F05841" w:rsidP="002708AE">
      <w:r>
        <w:t>A good milestone has four components:</w:t>
      </w:r>
    </w:p>
    <w:p w14:paraId="79DFB6B6" w14:textId="3B002C3F" w:rsidR="00F05841" w:rsidRPr="00E048BC" w:rsidRDefault="00F05841" w:rsidP="00F05841">
      <w:pPr>
        <w:pStyle w:val="ListParagraph"/>
        <w:rPr>
          <w:lang w:val="en-NZ" w:eastAsia="en-US"/>
        </w:rPr>
      </w:pPr>
      <w:r w:rsidRPr="00E048BC">
        <w:rPr>
          <w:lang w:val="en-NZ" w:eastAsia="en-US"/>
        </w:rPr>
        <w:t xml:space="preserve">What: It explains the activity that will take place. Milestones are outputs, not outcomes. They </w:t>
      </w:r>
      <w:r w:rsidR="00E9463C">
        <w:rPr>
          <w:lang w:val="en-NZ" w:eastAsia="en-US"/>
        </w:rPr>
        <w:t>are</w:t>
      </w:r>
      <w:r w:rsidRPr="00E048BC">
        <w:rPr>
          <w:lang w:val="en-NZ" w:eastAsia="en-US"/>
        </w:rPr>
        <w:t xml:space="preserve"> also referred to as deliverables.</w:t>
      </w:r>
    </w:p>
    <w:p w14:paraId="167158EF" w14:textId="10AE4B99" w:rsidR="00F05841" w:rsidRPr="00E048BC" w:rsidRDefault="00F05841" w:rsidP="00F05841">
      <w:pPr>
        <w:pStyle w:val="ListParagraph"/>
        <w:rPr>
          <w:lang w:val="en-NZ" w:eastAsia="en-US"/>
        </w:rPr>
      </w:pPr>
      <w:r w:rsidRPr="00E048BC">
        <w:rPr>
          <w:lang w:val="en-NZ" w:eastAsia="en-US"/>
        </w:rPr>
        <w:t xml:space="preserve">Why: It explains how the activity in the milestone is situated in and aligned to </w:t>
      </w:r>
      <w:r w:rsidR="00E9463C">
        <w:rPr>
          <w:lang w:val="en-NZ" w:eastAsia="en-US"/>
        </w:rPr>
        <w:t>your</w:t>
      </w:r>
      <w:r w:rsidR="00121FEF">
        <w:rPr>
          <w:lang w:val="en-NZ" w:eastAsia="en-US"/>
        </w:rPr>
        <w:t xml:space="preserve"> </w:t>
      </w:r>
      <w:r w:rsidRPr="00E048BC">
        <w:rPr>
          <w:lang w:val="en-NZ" w:eastAsia="en-US"/>
        </w:rPr>
        <w:t xml:space="preserve">TEO’s context and goals. </w:t>
      </w:r>
    </w:p>
    <w:p w14:paraId="156D8332" w14:textId="77777777" w:rsidR="00F05841" w:rsidRPr="00E048BC" w:rsidRDefault="00F05841" w:rsidP="00F05841">
      <w:pPr>
        <w:pStyle w:val="ListParagraph"/>
        <w:rPr>
          <w:lang w:val="en-NZ" w:eastAsia="en-US"/>
        </w:rPr>
      </w:pPr>
      <w:r w:rsidRPr="00E048BC">
        <w:rPr>
          <w:lang w:val="en-NZ" w:eastAsia="en-US"/>
        </w:rPr>
        <w:t>When: It includes a specific, realistic timeline for completing the activity and submitting evidence of that.</w:t>
      </w:r>
    </w:p>
    <w:p w14:paraId="13AF559E" w14:textId="55A9F3A4" w:rsidR="00D746EA" w:rsidRDefault="00F05841" w:rsidP="001F1B3E">
      <w:pPr>
        <w:pStyle w:val="ListParagraph"/>
        <w:rPr>
          <w:lang w:val="en-NZ" w:eastAsia="en-US"/>
        </w:rPr>
      </w:pPr>
      <w:r w:rsidRPr="00E048BC">
        <w:rPr>
          <w:lang w:val="en-NZ" w:eastAsia="en-US"/>
        </w:rPr>
        <w:t>How: It outlines what evidence you will submit to the TEC to demonstrate meeting the milestone.</w:t>
      </w:r>
    </w:p>
    <w:p w14:paraId="57176DD6" w14:textId="77777777" w:rsidR="00D746EA" w:rsidRDefault="00D746EA" w:rsidP="001F1B3E">
      <w:pPr>
        <w:rPr>
          <w:highlight w:val="yellow"/>
        </w:rPr>
      </w:pPr>
    </w:p>
    <w:p w14:paraId="27F36967" w14:textId="3027919C" w:rsidR="001F1B3E" w:rsidRDefault="00140068" w:rsidP="001F1B3E">
      <w:r>
        <w:lastRenderedPageBreak/>
        <w:t>Below are</w:t>
      </w:r>
      <w:r w:rsidR="00D746EA">
        <w:t xml:space="preserve"> </w:t>
      </w:r>
      <w:r w:rsidR="00F05841">
        <w:t>examples of some areas that your milestones could focus on. We expect that your milestones will reflect your learner population</w:t>
      </w:r>
      <w:r>
        <w:t xml:space="preserve"> and your </w:t>
      </w:r>
      <w:r w:rsidR="00F05841">
        <w:t>LSP (if applicable), and build on your milestones from the previous year.</w:t>
      </w:r>
    </w:p>
    <w:p w14:paraId="532E2662" w14:textId="2E524895" w:rsidR="00D746EA" w:rsidRDefault="00D746EA" w:rsidP="00D746EA">
      <w:pPr>
        <w:pStyle w:val="Heading3"/>
      </w:pPr>
      <w:r>
        <w:t>Examples of milestones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57"/>
        <w:gridCol w:w="5231"/>
      </w:tblGrid>
      <w:tr w:rsidR="00F05841" w:rsidRPr="009D36FA" w14:paraId="5F228EF3" w14:textId="77777777" w:rsidTr="00402E07">
        <w:tc>
          <w:tcPr>
            <w:tcW w:w="4957" w:type="dxa"/>
            <w:shd w:val="clear" w:color="auto" w:fill="F7F5ED" w:themeFill="background2" w:themeFillTint="33"/>
          </w:tcPr>
          <w:p w14:paraId="3B600ECB" w14:textId="77777777" w:rsidR="00F05841" w:rsidRPr="009D36FA" w:rsidRDefault="00F05841" w:rsidP="00554981">
            <w:pPr>
              <w:spacing w:after="0"/>
              <w:rPr>
                <w:b/>
                <w:bCs/>
                <w:sz w:val="24"/>
                <w:lang w:val="en-NZ"/>
              </w:rPr>
            </w:pPr>
            <w:r w:rsidRPr="009D36FA">
              <w:rPr>
                <w:b/>
                <w:bCs/>
                <w:sz w:val="24"/>
                <w:lang w:val="en-NZ"/>
              </w:rPr>
              <w:t>Stakeholder engagement</w:t>
            </w:r>
          </w:p>
        </w:tc>
        <w:tc>
          <w:tcPr>
            <w:tcW w:w="5231" w:type="dxa"/>
            <w:shd w:val="clear" w:color="auto" w:fill="F7F5ED" w:themeFill="background2" w:themeFillTint="33"/>
          </w:tcPr>
          <w:p w14:paraId="6F24501E" w14:textId="77777777" w:rsidR="00F05841" w:rsidRPr="009D36FA" w:rsidRDefault="00F05841" w:rsidP="00554981">
            <w:pPr>
              <w:spacing w:after="0"/>
              <w:rPr>
                <w:b/>
                <w:bCs/>
                <w:sz w:val="24"/>
                <w:lang w:val="en-NZ"/>
              </w:rPr>
            </w:pPr>
            <w:r w:rsidRPr="009D36FA">
              <w:rPr>
                <w:b/>
                <w:bCs/>
                <w:sz w:val="24"/>
                <w:lang w:val="en-NZ"/>
              </w:rPr>
              <w:t>Organisational performance</w:t>
            </w:r>
          </w:p>
        </w:tc>
      </w:tr>
      <w:tr w:rsidR="00F05841" w:rsidRPr="00E048BC" w14:paraId="6967DEBC" w14:textId="77777777" w:rsidTr="00F05841">
        <w:tc>
          <w:tcPr>
            <w:tcW w:w="4957" w:type="dxa"/>
          </w:tcPr>
          <w:p w14:paraId="4BD2EA73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Complete X number of focus groups with Y stakeholders for Z purpose.</w:t>
            </w:r>
          </w:p>
          <w:p w14:paraId="75792660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Establish and conduct X number of meetings with Y advisory group.</w:t>
            </w:r>
          </w:p>
          <w:p w14:paraId="43C22098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Consult X number of employers to align delivery to learner needs.</w:t>
            </w:r>
          </w:p>
          <w:p w14:paraId="09693A78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Hold X number of learner/student voice meetings.</w:t>
            </w:r>
          </w:p>
          <w:p w14:paraId="12271D81" w14:textId="77777777" w:rsid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Conduct X number of meetings with learner/student representatives for Y purpose.</w:t>
            </w:r>
          </w:p>
          <w:p w14:paraId="5B7D4E45" w14:textId="7E9AC290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Facilitate X focus groups with Y stakeholders to improve learner/student voice.</w:t>
            </w:r>
          </w:p>
        </w:tc>
        <w:tc>
          <w:tcPr>
            <w:tcW w:w="5231" w:type="dxa"/>
          </w:tcPr>
          <w:p w14:paraId="7130A70C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Complete X research to collect Y data.</w:t>
            </w:r>
          </w:p>
          <w:p w14:paraId="72856C78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Implement X surveys for Y purpose (eg, learner/student voice, inclusion, removing barriers to learning).</w:t>
            </w:r>
          </w:p>
          <w:p w14:paraId="039F3434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Conduct analysis on X problem (eg, poor completion rates), using X data for Y purpose.</w:t>
            </w:r>
          </w:p>
          <w:p w14:paraId="0DA26511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Develop X strategy to address Y problem (eg, poor completion rates).</w:t>
            </w:r>
          </w:p>
          <w:p w14:paraId="1479F283" w14:textId="77777777" w:rsid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Update X plan for Y purpose (eg, supporting learner success).</w:t>
            </w:r>
          </w:p>
          <w:p w14:paraId="28FC12BE" w14:textId="2BC3E020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Design X new programme/service to support learner success in Y way.</w:t>
            </w:r>
          </w:p>
        </w:tc>
      </w:tr>
      <w:tr w:rsidR="00F05841" w:rsidRPr="00E048BC" w14:paraId="425C08FC" w14:textId="77777777" w:rsidTr="00402E07">
        <w:tc>
          <w:tcPr>
            <w:tcW w:w="4957" w:type="dxa"/>
            <w:shd w:val="clear" w:color="auto" w:fill="F7F5ED" w:themeFill="background2" w:themeFillTint="33"/>
          </w:tcPr>
          <w:p w14:paraId="50D8B8B9" w14:textId="77777777" w:rsidR="00F05841" w:rsidRPr="00402E07" w:rsidRDefault="00F05841" w:rsidP="00554981">
            <w:pPr>
              <w:spacing w:after="0"/>
              <w:rPr>
                <w:b/>
                <w:bCs/>
                <w:sz w:val="24"/>
                <w:lang w:val="en-NZ"/>
              </w:rPr>
            </w:pPr>
            <w:r w:rsidRPr="00402E07">
              <w:rPr>
                <w:b/>
                <w:bCs/>
                <w:sz w:val="24"/>
                <w:lang w:val="en-NZ"/>
              </w:rPr>
              <w:t>Staffing and professional development</w:t>
            </w:r>
          </w:p>
        </w:tc>
        <w:tc>
          <w:tcPr>
            <w:tcW w:w="5231" w:type="dxa"/>
            <w:shd w:val="clear" w:color="auto" w:fill="F7F5ED" w:themeFill="background2" w:themeFillTint="33"/>
          </w:tcPr>
          <w:p w14:paraId="253376A9" w14:textId="77777777" w:rsidR="00F05841" w:rsidRPr="00402E07" w:rsidRDefault="00F05841" w:rsidP="00554981">
            <w:pPr>
              <w:spacing w:after="0"/>
              <w:rPr>
                <w:b/>
                <w:bCs/>
                <w:sz w:val="24"/>
                <w:lang w:val="en-NZ"/>
              </w:rPr>
            </w:pPr>
            <w:r w:rsidRPr="00402E07">
              <w:rPr>
                <w:b/>
                <w:bCs/>
                <w:sz w:val="24"/>
                <w:lang w:val="en-NZ"/>
              </w:rPr>
              <w:t>ICT systems and technology</w:t>
            </w:r>
          </w:p>
        </w:tc>
      </w:tr>
      <w:tr w:rsidR="00F05841" w:rsidRPr="00E048BC" w14:paraId="211E59A3" w14:textId="77777777" w:rsidTr="00F05841">
        <w:tc>
          <w:tcPr>
            <w:tcW w:w="4957" w:type="dxa"/>
          </w:tcPr>
          <w:p w14:paraId="63272E02" w14:textId="77777777" w:rsid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X staff complete Y training (eg, training in neurodiversity, disabilities, Te Tiriti o Waitangi, cultural awareness, unconscious bias, inclusion, or supporting learners with low levels of literacy and numeracy).</w:t>
            </w:r>
          </w:p>
          <w:p w14:paraId="05E84244" w14:textId="3E5522DC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Hire and induct X support staff for Y purpose.</w:t>
            </w:r>
          </w:p>
        </w:tc>
        <w:tc>
          <w:tcPr>
            <w:tcW w:w="5231" w:type="dxa"/>
          </w:tcPr>
          <w:p w14:paraId="3A42EDB1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Develop X system as a mechanism for learner feedback.</w:t>
            </w:r>
          </w:p>
          <w:p w14:paraId="34A5619D" w14:textId="77777777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Implement X technology solution for improved analytics.</w:t>
            </w:r>
          </w:p>
          <w:p w14:paraId="541476D0" w14:textId="77777777" w:rsid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Design reporting tools for Y purpose.</w:t>
            </w:r>
          </w:p>
          <w:p w14:paraId="29AE5C79" w14:textId="62222C90" w:rsidR="00F05841" w:rsidRPr="00402E07" w:rsidRDefault="00F05841" w:rsidP="00554981">
            <w:pPr>
              <w:pStyle w:val="ListParagraph"/>
              <w:spacing w:after="0"/>
              <w:rPr>
                <w:szCs w:val="22"/>
                <w:lang w:val="en-NZ"/>
              </w:rPr>
            </w:pPr>
            <w:r w:rsidRPr="00402E07">
              <w:rPr>
                <w:szCs w:val="22"/>
                <w:lang w:val="en-NZ"/>
              </w:rPr>
              <w:t>Add X capability into business intelligence reporting and systems.</w:t>
            </w:r>
          </w:p>
        </w:tc>
      </w:tr>
    </w:tbl>
    <w:p w14:paraId="5CA57BA0" w14:textId="2FC2193C" w:rsidR="00402E07" w:rsidRDefault="00402E07" w:rsidP="001F1B3E">
      <w:pPr>
        <w:rPr>
          <w:b/>
        </w:rPr>
      </w:pPr>
    </w:p>
    <w:p w14:paraId="444EE0A6" w14:textId="77777777" w:rsidR="00402E07" w:rsidRDefault="00402E07">
      <w:pPr>
        <w:spacing w:after="200"/>
        <w:rPr>
          <w:b/>
        </w:rPr>
      </w:pPr>
      <w:r>
        <w:rPr>
          <w:b/>
        </w:rPr>
        <w:br w:type="page"/>
      </w:r>
    </w:p>
    <w:p w14:paraId="27BEC918" w14:textId="3C0E1D3F" w:rsidR="00006434" w:rsidRDefault="00006434" w:rsidP="00402E07">
      <w:pPr>
        <w:pStyle w:val="Heading1"/>
        <w:rPr>
          <w:noProof/>
          <w:lang w:eastAsia="en-NZ"/>
        </w:rPr>
      </w:pPr>
      <w:r>
        <w:rPr>
          <w:noProof/>
          <w:lang w:eastAsia="en-NZ"/>
        </w:rPr>
        <w:lastRenderedPageBreak/>
        <w:drawing>
          <wp:anchor distT="0" distB="0" distL="114300" distR="114300" simplePos="0" relativeHeight="251657728" behindDoc="1" locked="0" layoutInCell="1" allowOverlap="1" wp14:anchorId="0D8E2942" wp14:editId="0EBF77C5">
            <wp:simplePos x="0" y="0"/>
            <wp:positionH relativeFrom="page">
              <wp:align>right</wp:align>
            </wp:positionH>
            <wp:positionV relativeFrom="paragraph">
              <wp:posOffset>-716136</wp:posOffset>
            </wp:positionV>
            <wp:extent cx="7555865" cy="2160270"/>
            <wp:effectExtent l="0" t="0" r="6985" b="0"/>
            <wp:wrapNone/>
            <wp:docPr id="83940269" name="Picture 83940269" descr="A yellow background with orang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0269" name="Picture 83940269" descr="A yellow background with orange line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DD8F0" w14:textId="77777777" w:rsidR="00006434" w:rsidRDefault="00006434" w:rsidP="00402E07">
      <w:pPr>
        <w:pStyle w:val="Heading1"/>
        <w:rPr>
          <w:noProof/>
          <w:lang w:eastAsia="en-NZ"/>
        </w:rPr>
      </w:pPr>
    </w:p>
    <w:p w14:paraId="746CAE4A" w14:textId="77777777" w:rsidR="00006434" w:rsidRDefault="00006434" w:rsidP="00402E07">
      <w:pPr>
        <w:pStyle w:val="Heading1"/>
        <w:rPr>
          <w:noProof/>
          <w:lang w:eastAsia="en-NZ"/>
        </w:rPr>
      </w:pPr>
    </w:p>
    <w:p w14:paraId="210D0F95" w14:textId="4296A6D7" w:rsidR="00402E07" w:rsidRDefault="00402E07" w:rsidP="00402E07">
      <w:pPr>
        <w:pStyle w:val="Heading1"/>
      </w:pPr>
      <w:r>
        <w:rPr>
          <w:noProof/>
          <w:lang w:eastAsia="en-NZ"/>
        </w:rPr>
        <w:t>Learner Component Performance Element – Schedule of Payments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5434"/>
        <w:gridCol w:w="1701"/>
        <w:gridCol w:w="1546"/>
      </w:tblGrid>
      <w:tr w:rsidR="00402E07" w:rsidRPr="000D2201" w14:paraId="5F865B52" w14:textId="77777777" w:rsidTr="00554981">
        <w:trPr>
          <w:trHeight w:val="529"/>
        </w:trPr>
        <w:tc>
          <w:tcPr>
            <w:tcW w:w="1507" w:type="dxa"/>
          </w:tcPr>
          <w:p w14:paraId="0D1B815A" w14:textId="77777777" w:rsidR="00402E07" w:rsidRPr="000D2201" w:rsidRDefault="00402E07" w:rsidP="00554981">
            <w:pPr>
              <w:spacing w:after="0"/>
              <w:rPr>
                <w:rFonts w:eastAsiaTheme="majorEastAsia" w:cstheme="minorHAnsi"/>
                <w:b/>
                <w:bCs/>
                <w:color w:val="343032" w:themeColor="text1"/>
                <w:sz w:val="24"/>
                <w:lang w:val="en-NZ" w:eastAsia="en-NZ"/>
              </w:rPr>
            </w:pPr>
            <w:r w:rsidRPr="000D2201">
              <w:rPr>
                <w:rFonts w:eastAsiaTheme="majorEastAsia" w:cstheme="minorHAnsi"/>
                <w:b/>
                <w:bCs/>
                <w:color w:val="343032" w:themeColor="text1"/>
                <w:sz w:val="24"/>
                <w:lang w:val="en-NZ" w:eastAsia="en-NZ"/>
              </w:rPr>
              <w:t>TEO Name</w:t>
            </w:r>
          </w:p>
        </w:tc>
        <w:tc>
          <w:tcPr>
            <w:tcW w:w="5434" w:type="dxa"/>
          </w:tcPr>
          <w:p w14:paraId="733E1257" w14:textId="77777777" w:rsidR="00402E07" w:rsidRPr="00321E09" w:rsidRDefault="00402E07" w:rsidP="00554981">
            <w:pPr>
              <w:spacing w:after="0"/>
              <w:rPr>
                <w:rFonts w:eastAsiaTheme="majorEastAsia" w:cstheme="minorHAnsi"/>
                <w:color w:val="343032" w:themeColor="text1"/>
                <w:sz w:val="24"/>
                <w:lang w:val="en-NZ" w:eastAsia="en-NZ"/>
              </w:rPr>
            </w:pPr>
          </w:p>
        </w:tc>
        <w:tc>
          <w:tcPr>
            <w:tcW w:w="1701" w:type="dxa"/>
          </w:tcPr>
          <w:p w14:paraId="2F5279BC" w14:textId="75765BB5" w:rsidR="00402E07" w:rsidRPr="000D2201" w:rsidRDefault="00402E07" w:rsidP="00554981">
            <w:pPr>
              <w:spacing w:after="0"/>
              <w:rPr>
                <w:rFonts w:eastAsiaTheme="majorEastAsia" w:cstheme="minorHAnsi"/>
                <w:b/>
                <w:bCs/>
                <w:color w:val="343032" w:themeColor="text1"/>
                <w:sz w:val="24"/>
                <w:lang w:val="en-NZ" w:eastAsia="en-NZ"/>
              </w:rPr>
            </w:pPr>
            <w:r w:rsidRPr="000D2201">
              <w:rPr>
                <w:rFonts w:eastAsiaTheme="majorEastAsia" w:cstheme="minorHAnsi"/>
                <w:b/>
                <w:bCs/>
                <w:color w:val="343032" w:themeColor="text1"/>
                <w:sz w:val="24"/>
                <w:lang w:val="en-NZ" w:eastAsia="en-NZ"/>
              </w:rPr>
              <w:t xml:space="preserve">TEO </w:t>
            </w:r>
            <w:r>
              <w:rPr>
                <w:rFonts w:eastAsiaTheme="majorEastAsia" w:cstheme="minorHAnsi"/>
                <w:b/>
                <w:bCs/>
                <w:color w:val="343032" w:themeColor="text1"/>
                <w:sz w:val="24"/>
                <w:lang w:val="en-NZ" w:eastAsia="en-NZ"/>
              </w:rPr>
              <w:t>Edumis</w:t>
            </w:r>
          </w:p>
        </w:tc>
        <w:tc>
          <w:tcPr>
            <w:tcW w:w="1546" w:type="dxa"/>
          </w:tcPr>
          <w:p w14:paraId="0A14EAF4" w14:textId="77777777" w:rsidR="00402E07" w:rsidRPr="00321E09" w:rsidRDefault="00402E07" w:rsidP="00554981">
            <w:pPr>
              <w:spacing w:after="0"/>
              <w:rPr>
                <w:rFonts w:eastAsiaTheme="majorEastAsia" w:cstheme="minorHAnsi"/>
                <w:color w:val="343032" w:themeColor="text1"/>
                <w:sz w:val="24"/>
                <w:lang w:val="en-NZ" w:eastAsia="en-NZ"/>
              </w:rPr>
            </w:pPr>
          </w:p>
        </w:tc>
      </w:tr>
    </w:tbl>
    <w:p w14:paraId="406A39F9" w14:textId="6A0466F6" w:rsidR="00402E07" w:rsidRPr="000D2201" w:rsidRDefault="00402E07" w:rsidP="00402E07">
      <w:pPr>
        <w:rPr>
          <w:lang w:val="en-NZ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12"/>
        <w:gridCol w:w="4129"/>
        <w:gridCol w:w="1365"/>
        <w:gridCol w:w="1895"/>
      </w:tblGrid>
      <w:tr w:rsidR="00402E07" w:rsidRPr="000D2201" w14:paraId="19B7B49E" w14:textId="77777777" w:rsidTr="0027301F">
        <w:trPr>
          <w:trHeight w:val="503"/>
        </w:trPr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463ECF7C" w14:textId="7909E3FC" w:rsidR="00402E07" w:rsidRPr="000D2201" w:rsidRDefault="00402E07" w:rsidP="00554981">
            <w:pPr>
              <w:rPr>
                <w:b/>
                <w:bCs/>
                <w:sz w:val="24"/>
                <w:szCs w:val="28"/>
                <w:lang w:val="en-NZ" w:eastAsia="en-NZ"/>
              </w:rPr>
            </w:pPr>
            <w:r w:rsidRPr="000D2201">
              <w:rPr>
                <w:b/>
                <w:bCs/>
                <w:sz w:val="24"/>
                <w:szCs w:val="28"/>
                <w:lang w:val="en-NZ" w:eastAsia="en-NZ"/>
              </w:rPr>
              <w:t xml:space="preserve">Learner component performance element – </w:t>
            </w:r>
            <w:r w:rsidR="00140068">
              <w:rPr>
                <w:b/>
                <w:bCs/>
                <w:sz w:val="24"/>
                <w:szCs w:val="28"/>
                <w:lang w:val="en-NZ" w:eastAsia="en-NZ"/>
              </w:rPr>
              <w:t>m</w:t>
            </w:r>
            <w:r>
              <w:rPr>
                <w:b/>
                <w:bCs/>
                <w:sz w:val="24"/>
                <w:szCs w:val="28"/>
                <w:lang w:val="en-NZ" w:eastAsia="en-NZ"/>
              </w:rPr>
              <w:t>ilestones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72AAB391" w14:textId="77777777" w:rsidR="00402E07" w:rsidRPr="000D2201" w:rsidRDefault="00402E07" w:rsidP="00554981">
            <w:pPr>
              <w:ind w:right="1192"/>
              <w:rPr>
                <w:b/>
                <w:bCs/>
                <w:sz w:val="24"/>
                <w:szCs w:val="28"/>
                <w:lang w:val="en-NZ"/>
              </w:rPr>
            </w:pPr>
            <w:r>
              <w:rPr>
                <w:b/>
                <w:bCs/>
                <w:sz w:val="24"/>
                <w:szCs w:val="28"/>
                <w:lang w:val="en-NZ"/>
              </w:rPr>
              <w:t>2025</w:t>
            </w:r>
          </w:p>
        </w:tc>
      </w:tr>
      <w:tr w:rsidR="00402E07" w:rsidRPr="000D2201" w14:paraId="7E746CA0" w14:textId="77777777" w:rsidTr="0027301F">
        <w:tc>
          <w:tcPr>
            <w:tcW w:w="10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8DD74" w14:textId="77777777" w:rsidR="00402E07" w:rsidRPr="000D2201" w:rsidRDefault="00402E07" w:rsidP="00554981">
            <w:pPr>
              <w:spacing w:after="0"/>
              <w:rPr>
                <w:lang w:val="en-NZ"/>
              </w:rPr>
            </w:pPr>
          </w:p>
        </w:tc>
      </w:tr>
      <w:tr w:rsidR="00402E07" w:rsidRPr="000D2201" w14:paraId="10EFD9EE" w14:textId="77777777" w:rsidTr="0027301F">
        <w:tc>
          <w:tcPr>
            <w:tcW w:w="2812" w:type="dxa"/>
            <w:tcBorders>
              <w:top w:val="single" w:sz="4" w:space="0" w:color="auto"/>
            </w:tcBorders>
            <w:shd w:val="clear" w:color="auto" w:fill="EBE9E9" w:themeFill="text1" w:themeFillTint="1A"/>
          </w:tcPr>
          <w:p w14:paraId="53782CE3" w14:textId="77777777" w:rsidR="00402E07" w:rsidRDefault="00402E07" w:rsidP="0027301F">
            <w:pPr>
              <w:rPr>
                <w:b/>
                <w:bCs/>
                <w:sz w:val="24"/>
                <w:szCs w:val="28"/>
                <w:lang w:val="en-NZ"/>
              </w:rPr>
            </w:pPr>
            <w:r w:rsidRPr="000D2201">
              <w:rPr>
                <w:b/>
                <w:bCs/>
                <w:sz w:val="24"/>
                <w:szCs w:val="28"/>
                <w:lang w:val="en-NZ"/>
              </w:rPr>
              <w:t>Milestone title</w:t>
            </w:r>
          </w:p>
          <w:p w14:paraId="445ED68F" w14:textId="0B7C4458" w:rsidR="00402E07" w:rsidRPr="000D2201" w:rsidRDefault="00402E07" w:rsidP="0027301F">
            <w:pPr>
              <w:rPr>
                <w:b/>
                <w:bCs/>
                <w:sz w:val="24"/>
                <w:szCs w:val="28"/>
                <w:lang w:val="en-NZ"/>
              </w:rPr>
            </w:pPr>
            <w:r w:rsidRPr="009E16CF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>(</w:t>
            </w:r>
            <w:r w:rsidR="00E9463C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>no more than</w:t>
            </w:r>
            <w:r w:rsidRPr="009E16CF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 xml:space="preserve"> </w:t>
            </w:r>
            <w:r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>two</w:t>
            </w:r>
            <w:r w:rsidRPr="009E16CF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 xml:space="preserve"> milestones per year)</w:t>
            </w:r>
          </w:p>
        </w:tc>
        <w:tc>
          <w:tcPr>
            <w:tcW w:w="4129" w:type="dxa"/>
            <w:tcBorders>
              <w:top w:val="single" w:sz="4" w:space="0" w:color="auto"/>
            </w:tcBorders>
            <w:shd w:val="clear" w:color="auto" w:fill="EBE9E9" w:themeFill="text1" w:themeFillTint="1A"/>
          </w:tcPr>
          <w:p w14:paraId="0559FA7A" w14:textId="77777777" w:rsidR="00402E07" w:rsidRPr="000D2201" w:rsidRDefault="00402E07" w:rsidP="0027301F">
            <w:pPr>
              <w:rPr>
                <w:b/>
                <w:bCs/>
                <w:sz w:val="24"/>
                <w:szCs w:val="28"/>
                <w:lang w:val="en-NZ"/>
              </w:rPr>
            </w:pPr>
            <w:r w:rsidRPr="000D2201">
              <w:rPr>
                <w:b/>
                <w:bCs/>
                <w:sz w:val="24"/>
                <w:szCs w:val="28"/>
                <w:lang w:val="en-NZ"/>
              </w:rPr>
              <w:t>Milestone description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EBE9E9" w:themeFill="text1" w:themeFillTint="1A"/>
          </w:tcPr>
          <w:p w14:paraId="67EADB95" w14:textId="54856E33" w:rsidR="00402E07" w:rsidRPr="000D2201" w:rsidRDefault="00402E07" w:rsidP="0027301F">
            <w:pPr>
              <w:rPr>
                <w:b/>
                <w:bCs/>
                <w:sz w:val="24"/>
                <w:szCs w:val="28"/>
                <w:lang w:val="en-NZ"/>
              </w:rPr>
            </w:pPr>
            <w:r w:rsidRPr="000D2201">
              <w:rPr>
                <w:b/>
                <w:bCs/>
                <w:sz w:val="24"/>
                <w:szCs w:val="28"/>
                <w:lang w:val="en-NZ"/>
              </w:rPr>
              <w:t xml:space="preserve">Deliverable </w:t>
            </w:r>
            <w:r w:rsidR="0027301F">
              <w:rPr>
                <w:b/>
                <w:bCs/>
                <w:sz w:val="24"/>
                <w:szCs w:val="28"/>
                <w:lang w:val="en-NZ"/>
              </w:rPr>
              <w:t xml:space="preserve">due </w:t>
            </w:r>
            <w:r w:rsidRPr="000D2201">
              <w:rPr>
                <w:b/>
                <w:bCs/>
                <w:sz w:val="24"/>
                <w:szCs w:val="28"/>
                <w:lang w:val="en-NZ"/>
              </w:rPr>
              <w:t>date</w:t>
            </w:r>
            <w:r w:rsidR="0027301F">
              <w:rPr>
                <w:b/>
                <w:bCs/>
                <w:sz w:val="24"/>
                <w:szCs w:val="28"/>
                <w:lang w:val="en-NZ"/>
              </w:rPr>
              <w:t xml:space="preserve"> </w:t>
            </w:r>
            <w:r w:rsidR="0027301F" w:rsidRPr="0027301F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>(</w:t>
            </w:r>
            <w:r w:rsidR="0027301F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 xml:space="preserve">these are </w:t>
            </w:r>
            <w:r w:rsidR="0027301F" w:rsidRPr="0027301F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>set dates)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EBE9E9" w:themeFill="text1" w:themeFillTint="1A"/>
          </w:tcPr>
          <w:p w14:paraId="37F6C4FC" w14:textId="68673C8A" w:rsidR="00402E07" w:rsidRPr="000D2201" w:rsidRDefault="00402E07" w:rsidP="0027301F">
            <w:pPr>
              <w:rPr>
                <w:b/>
                <w:bCs/>
                <w:sz w:val="24"/>
                <w:szCs w:val="28"/>
                <w:lang w:val="en-NZ"/>
              </w:rPr>
            </w:pPr>
            <w:r w:rsidRPr="000D2201">
              <w:rPr>
                <w:b/>
                <w:bCs/>
                <w:sz w:val="24"/>
                <w:szCs w:val="28"/>
                <w:lang w:val="en-NZ"/>
              </w:rPr>
              <w:t>Payment</w:t>
            </w:r>
            <w:r>
              <w:rPr>
                <w:b/>
                <w:bCs/>
                <w:sz w:val="24"/>
                <w:szCs w:val="28"/>
                <w:lang w:val="en-NZ"/>
              </w:rPr>
              <w:t xml:space="preserve"> percentage for each milestone</w:t>
            </w:r>
            <w:r w:rsidR="0027301F">
              <w:rPr>
                <w:b/>
                <w:bCs/>
                <w:sz w:val="24"/>
                <w:szCs w:val="28"/>
                <w:lang w:val="en-NZ"/>
              </w:rPr>
              <w:t xml:space="preserve"> </w:t>
            </w:r>
            <w:r w:rsidR="0027301F" w:rsidRPr="0027301F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>(</w:t>
            </w:r>
            <w:r w:rsidR="0027301F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 xml:space="preserve">these are </w:t>
            </w:r>
            <w:r w:rsidR="0027301F" w:rsidRPr="0027301F">
              <w:rPr>
                <w:b/>
                <w:bCs/>
                <w:i/>
                <w:iCs/>
                <w:color w:val="808080" w:themeColor="background1" w:themeShade="80"/>
                <w:sz w:val="24"/>
                <w:szCs w:val="28"/>
                <w:lang w:val="en-NZ"/>
              </w:rPr>
              <w:t>set percentages)</w:t>
            </w:r>
          </w:p>
        </w:tc>
      </w:tr>
      <w:tr w:rsidR="00402E07" w:rsidRPr="000D2201" w14:paraId="5AFF0CBB" w14:textId="77777777" w:rsidTr="0027301F">
        <w:trPr>
          <w:trHeight w:val="1437"/>
        </w:trPr>
        <w:tc>
          <w:tcPr>
            <w:tcW w:w="2812" w:type="dxa"/>
          </w:tcPr>
          <w:p w14:paraId="5C8845E4" w14:textId="77777777" w:rsidR="00402E07" w:rsidRPr="000D2201" w:rsidRDefault="00402E07" w:rsidP="00554981">
            <w:pPr>
              <w:rPr>
                <w:lang w:val="en-NZ"/>
              </w:rPr>
            </w:pPr>
          </w:p>
        </w:tc>
        <w:tc>
          <w:tcPr>
            <w:tcW w:w="4129" w:type="dxa"/>
          </w:tcPr>
          <w:p w14:paraId="72EE3223" w14:textId="77777777" w:rsidR="00402E07" w:rsidRPr="000D2201" w:rsidRDefault="00402E07" w:rsidP="00554981">
            <w:pPr>
              <w:rPr>
                <w:lang w:val="en-NZ"/>
              </w:rPr>
            </w:pPr>
          </w:p>
        </w:tc>
        <w:tc>
          <w:tcPr>
            <w:tcW w:w="1365" w:type="dxa"/>
            <w:shd w:val="clear" w:color="auto" w:fill="EBE9E9" w:themeFill="text1" w:themeFillTint="1A"/>
          </w:tcPr>
          <w:p w14:paraId="370661A6" w14:textId="41C2E2BC" w:rsidR="00402E07" w:rsidRPr="0027301F" w:rsidRDefault="0027301F" w:rsidP="00554981">
            <w:pPr>
              <w:rPr>
                <w:b/>
                <w:bCs/>
                <w:lang w:val="en-NZ"/>
              </w:rPr>
            </w:pPr>
            <w:r w:rsidRPr="0027301F">
              <w:rPr>
                <w:b/>
                <w:bCs/>
                <w:lang w:val="en-NZ"/>
              </w:rPr>
              <w:t>30 June 2025</w:t>
            </w:r>
          </w:p>
        </w:tc>
        <w:tc>
          <w:tcPr>
            <w:tcW w:w="1895" w:type="dxa"/>
            <w:shd w:val="clear" w:color="auto" w:fill="EBE9E9" w:themeFill="text1" w:themeFillTint="1A"/>
          </w:tcPr>
          <w:p w14:paraId="0ADCFDBE" w14:textId="4D57D844" w:rsidR="00402E07" w:rsidRPr="0027301F" w:rsidRDefault="0027301F" w:rsidP="00554981">
            <w:pPr>
              <w:rPr>
                <w:b/>
                <w:bCs/>
                <w:lang w:val="en-NZ"/>
              </w:rPr>
            </w:pPr>
            <w:r w:rsidRPr="0027301F">
              <w:rPr>
                <w:b/>
                <w:bCs/>
                <w:lang w:val="en-NZ"/>
              </w:rPr>
              <w:t>50%</w:t>
            </w:r>
          </w:p>
        </w:tc>
      </w:tr>
      <w:tr w:rsidR="00402E07" w:rsidRPr="000D2201" w14:paraId="75904873" w14:textId="77777777" w:rsidTr="0027301F">
        <w:trPr>
          <w:trHeight w:val="1757"/>
        </w:trPr>
        <w:tc>
          <w:tcPr>
            <w:tcW w:w="2812" w:type="dxa"/>
          </w:tcPr>
          <w:p w14:paraId="0598504F" w14:textId="77777777" w:rsidR="00402E07" w:rsidRPr="000D2201" w:rsidRDefault="00402E07" w:rsidP="00554981">
            <w:pPr>
              <w:rPr>
                <w:lang w:val="en-NZ"/>
              </w:rPr>
            </w:pPr>
          </w:p>
        </w:tc>
        <w:tc>
          <w:tcPr>
            <w:tcW w:w="4129" w:type="dxa"/>
          </w:tcPr>
          <w:p w14:paraId="3F4D892B" w14:textId="77777777" w:rsidR="00402E07" w:rsidRPr="000D2201" w:rsidRDefault="00402E07" w:rsidP="00554981">
            <w:pPr>
              <w:rPr>
                <w:lang w:val="en-NZ"/>
              </w:rPr>
            </w:pPr>
          </w:p>
        </w:tc>
        <w:tc>
          <w:tcPr>
            <w:tcW w:w="1365" w:type="dxa"/>
            <w:shd w:val="clear" w:color="auto" w:fill="EBE9E9" w:themeFill="text1" w:themeFillTint="1A"/>
          </w:tcPr>
          <w:p w14:paraId="1C93FF61" w14:textId="02743273" w:rsidR="00402E07" w:rsidRPr="0027301F" w:rsidRDefault="0027301F" w:rsidP="00554981">
            <w:pPr>
              <w:rPr>
                <w:b/>
                <w:bCs/>
                <w:lang w:val="en-NZ"/>
              </w:rPr>
            </w:pPr>
            <w:r w:rsidRPr="0027301F">
              <w:rPr>
                <w:b/>
                <w:bCs/>
                <w:lang w:val="en-NZ"/>
              </w:rPr>
              <w:t>14 November 2025</w:t>
            </w:r>
          </w:p>
        </w:tc>
        <w:tc>
          <w:tcPr>
            <w:tcW w:w="1895" w:type="dxa"/>
            <w:shd w:val="clear" w:color="auto" w:fill="EBE9E9" w:themeFill="text1" w:themeFillTint="1A"/>
          </w:tcPr>
          <w:p w14:paraId="74B8EE06" w14:textId="4F9785B5" w:rsidR="00402E07" w:rsidRPr="0027301F" w:rsidRDefault="0027301F" w:rsidP="00554981">
            <w:pPr>
              <w:rPr>
                <w:b/>
                <w:bCs/>
                <w:lang w:val="en-NZ"/>
              </w:rPr>
            </w:pPr>
            <w:r w:rsidRPr="0027301F">
              <w:rPr>
                <w:b/>
                <w:bCs/>
                <w:lang w:val="en-NZ"/>
              </w:rPr>
              <w:t>50%</w:t>
            </w:r>
          </w:p>
        </w:tc>
      </w:tr>
      <w:tr w:rsidR="00402E07" w:rsidRPr="000D2201" w14:paraId="27EF8D57" w14:textId="77777777" w:rsidTr="0027301F">
        <w:trPr>
          <w:trHeight w:val="471"/>
        </w:trPr>
        <w:tc>
          <w:tcPr>
            <w:tcW w:w="8306" w:type="dxa"/>
            <w:gridSpan w:val="3"/>
          </w:tcPr>
          <w:p w14:paraId="3B384FC0" w14:textId="657A4807" w:rsidR="00402E07" w:rsidRPr="000D2201" w:rsidRDefault="00402E07" w:rsidP="00554981">
            <w:pPr>
              <w:rPr>
                <w:b/>
                <w:bCs/>
                <w:sz w:val="24"/>
                <w:szCs w:val="28"/>
                <w:lang w:val="en-NZ"/>
              </w:rPr>
            </w:pPr>
            <w:r w:rsidRPr="000D2201">
              <w:rPr>
                <w:b/>
                <w:bCs/>
                <w:sz w:val="24"/>
                <w:szCs w:val="28"/>
                <w:lang w:val="en-NZ"/>
              </w:rPr>
              <w:t>Total</w:t>
            </w:r>
          </w:p>
        </w:tc>
        <w:tc>
          <w:tcPr>
            <w:tcW w:w="1895" w:type="dxa"/>
            <w:shd w:val="clear" w:color="auto" w:fill="EBE9E9" w:themeFill="text1" w:themeFillTint="1A"/>
          </w:tcPr>
          <w:p w14:paraId="7A5848D8" w14:textId="77777777" w:rsidR="00402E07" w:rsidRPr="000D2201" w:rsidRDefault="00402E07" w:rsidP="00554981">
            <w:pPr>
              <w:rPr>
                <w:b/>
                <w:bCs/>
                <w:sz w:val="24"/>
                <w:szCs w:val="28"/>
                <w:lang w:val="en-NZ"/>
              </w:rPr>
            </w:pPr>
            <w:r>
              <w:rPr>
                <w:b/>
                <w:bCs/>
                <w:sz w:val="24"/>
                <w:szCs w:val="28"/>
                <w:lang w:val="en-NZ"/>
              </w:rPr>
              <w:t>100%</w:t>
            </w:r>
          </w:p>
        </w:tc>
      </w:tr>
    </w:tbl>
    <w:p w14:paraId="2C0E1AA6" w14:textId="77777777" w:rsidR="00402E07" w:rsidRDefault="00402E07" w:rsidP="00402E07">
      <w:pPr>
        <w:spacing w:after="200"/>
        <w:rPr>
          <w:b/>
          <w:bCs/>
          <w:lang w:val="en-NZ"/>
        </w:rPr>
      </w:pPr>
    </w:p>
    <w:p w14:paraId="3C0935ED" w14:textId="32CB0401" w:rsidR="00396EB2" w:rsidRPr="00396EB2" w:rsidRDefault="00396EB2" w:rsidP="00402E07">
      <w:pPr>
        <w:spacing w:after="200"/>
        <w:rPr>
          <w:b/>
          <w:bCs/>
          <w:i/>
          <w:iCs/>
          <w:lang w:val="en-NZ"/>
        </w:rPr>
      </w:pPr>
      <w:r>
        <w:rPr>
          <w:b/>
          <w:bCs/>
          <w:i/>
          <w:iCs/>
          <w:lang w:val="en-NZ"/>
        </w:rPr>
        <w:t xml:space="preserve">Please upload your completed template </w:t>
      </w:r>
      <w:r w:rsidR="00530777">
        <w:rPr>
          <w:b/>
          <w:bCs/>
          <w:i/>
          <w:iCs/>
          <w:lang w:val="en-NZ"/>
        </w:rPr>
        <w:t>into your</w:t>
      </w:r>
      <w:r>
        <w:rPr>
          <w:b/>
          <w:bCs/>
          <w:i/>
          <w:iCs/>
          <w:lang w:val="en-NZ"/>
        </w:rPr>
        <w:t xml:space="preserve"> DXP Ngā Kete. </w:t>
      </w:r>
    </w:p>
    <w:p w14:paraId="21C5BFAF" w14:textId="7C7E0A72" w:rsidR="00F13233" w:rsidRPr="008F2FA9" w:rsidRDefault="00852A6C" w:rsidP="0027301F">
      <w:r w:rsidRPr="00852A6C">
        <w:rPr>
          <w:bCs/>
          <w:i/>
          <w:iCs/>
        </w:rPr>
        <w:t xml:space="preserve">This template is not a guarantee of funding. </w:t>
      </w:r>
      <w:r w:rsidR="00294B85" w:rsidRPr="00F13233"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306B0A83" wp14:editId="157F0827">
            <wp:simplePos x="0" y="0"/>
            <wp:positionH relativeFrom="page">
              <wp:posOffset>0</wp:posOffset>
            </wp:positionH>
            <wp:positionV relativeFrom="page">
              <wp:posOffset>6913880</wp:posOffset>
            </wp:positionV>
            <wp:extent cx="7559040" cy="3779520"/>
            <wp:effectExtent l="0" t="0" r="3810" b="0"/>
            <wp:wrapTight wrapText="bothSides">
              <wp:wrapPolygon edited="1">
                <wp:start x="21582" y="11204"/>
                <wp:lineTo x="0" y="11257"/>
                <wp:lineTo x="0" y="18581"/>
                <wp:lineTo x="21556" y="18581"/>
                <wp:lineTo x="21582" y="1120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anne:Desktop:DNA:TEC 02 Production:Covers, Divider Pages, Headers:Links Word-PPT:External Simple Template Word Assets:Simple - Foote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233" w:rsidRPr="008F2FA9" w:rsidSect="00E3773B">
      <w:footerReference w:type="default" r:id="rId16"/>
      <w:footerReference w:type="first" r:id="rId17"/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DCF5" w14:textId="77777777" w:rsidR="00871B3F" w:rsidRDefault="00871B3F" w:rsidP="00C34D06">
      <w:pPr>
        <w:spacing w:after="0"/>
      </w:pPr>
      <w:r>
        <w:separator/>
      </w:r>
    </w:p>
  </w:endnote>
  <w:endnote w:type="continuationSeparator" w:id="0">
    <w:p w14:paraId="2E024DBB" w14:textId="77777777" w:rsidR="00871B3F" w:rsidRDefault="00871B3F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0935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C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E12825" w14:textId="6A5CD44C" w:rsidR="00F13233" w:rsidRDefault="00F13233" w:rsidP="00E3773B">
    <w:pPr>
      <w:pStyle w:val="Footer"/>
      <w:tabs>
        <w:tab w:val="clear" w:pos="7655"/>
        <w:tab w:val="right" w:pos="9838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AE9F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C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9DDD29" w14:textId="0BBE95A6" w:rsidR="00F13233" w:rsidRDefault="00F13233" w:rsidP="00E3773B">
    <w:pPr>
      <w:pStyle w:val="Footer"/>
      <w:tabs>
        <w:tab w:val="clear" w:pos="7655"/>
        <w:tab w:val="right" w:pos="9838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EDE6" w14:textId="77777777" w:rsidR="00871B3F" w:rsidRDefault="00871B3F" w:rsidP="00C34D06">
      <w:pPr>
        <w:spacing w:after="0"/>
      </w:pPr>
      <w:r>
        <w:separator/>
      </w:r>
    </w:p>
  </w:footnote>
  <w:footnote w:type="continuationSeparator" w:id="0">
    <w:p w14:paraId="4A8CB5B3" w14:textId="77777777" w:rsidR="00871B3F" w:rsidRDefault="00871B3F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333D6DE2"/>
    <w:multiLevelType w:val="multilevel"/>
    <w:tmpl w:val="8DD22B56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71AB6"/>
    <w:multiLevelType w:val="hybridMultilevel"/>
    <w:tmpl w:val="3DFEA71C"/>
    <w:lvl w:ilvl="0" w:tplc="F0E08042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12619"/>
    <w:multiLevelType w:val="hybridMultilevel"/>
    <w:tmpl w:val="6DF6ECD2"/>
    <w:lvl w:ilvl="0" w:tplc="F0E08042">
      <w:start w:val="1"/>
      <w:numFmt w:val="bullet"/>
      <w:lvlText w:val="›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623E9B"/>
    <w:multiLevelType w:val="hybridMultilevel"/>
    <w:tmpl w:val="E902A80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25939">
    <w:abstractNumId w:val="12"/>
  </w:num>
  <w:num w:numId="2" w16cid:durableId="1828982166">
    <w:abstractNumId w:val="11"/>
  </w:num>
  <w:num w:numId="3" w16cid:durableId="1888181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639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925476">
    <w:abstractNumId w:val="16"/>
  </w:num>
  <w:num w:numId="6" w16cid:durableId="1700471374">
    <w:abstractNumId w:val="13"/>
  </w:num>
  <w:num w:numId="7" w16cid:durableId="1580556289">
    <w:abstractNumId w:val="10"/>
  </w:num>
  <w:num w:numId="8" w16cid:durableId="2007131323">
    <w:abstractNumId w:val="14"/>
  </w:num>
  <w:num w:numId="9" w16cid:durableId="1875923353">
    <w:abstractNumId w:val="9"/>
  </w:num>
  <w:num w:numId="10" w16cid:durableId="1974165467">
    <w:abstractNumId w:val="7"/>
  </w:num>
  <w:num w:numId="11" w16cid:durableId="55401587">
    <w:abstractNumId w:val="6"/>
  </w:num>
  <w:num w:numId="12" w16cid:durableId="670717275">
    <w:abstractNumId w:val="5"/>
  </w:num>
  <w:num w:numId="13" w16cid:durableId="1628731218">
    <w:abstractNumId w:val="4"/>
  </w:num>
  <w:num w:numId="14" w16cid:durableId="1061758509">
    <w:abstractNumId w:val="8"/>
  </w:num>
  <w:num w:numId="15" w16cid:durableId="25103997">
    <w:abstractNumId w:val="3"/>
  </w:num>
  <w:num w:numId="16" w16cid:durableId="207453792">
    <w:abstractNumId w:val="2"/>
  </w:num>
  <w:num w:numId="17" w16cid:durableId="59258343">
    <w:abstractNumId w:val="1"/>
  </w:num>
  <w:num w:numId="18" w16cid:durableId="2110738592">
    <w:abstractNumId w:val="0"/>
  </w:num>
  <w:num w:numId="19" w16cid:durableId="1140612940">
    <w:abstractNumId w:val="17"/>
  </w:num>
  <w:num w:numId="20" w16cid:durableId="1063943155">
    <w:abstractNumId w:val="18"/>
  </w:num>
  <w:num w:numId="21" w16cid:durableId="1773166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41"/>
    <w:rsid w:val="00006434"/>
    <w:rsid w:val="000165F7"/>
    <w:rsid w:val="000329DB"/>
    <w:rsid w:val="000667C0"/>
    <w:rsid w:val="000746DE"/>
    <w:rsid w:val="000A6B24"/>
    <w:rsid w:val="000D299A"/>
    <w:rsid w:val="000D6921"/>
    <w:rsid w:val="00117A16"/>
    <w:rsid w:val="00121FEF"/>
    <w:rsid w:val="00140068"/>
    <w:rsid w:val="0014533E"/>
    <w:rsid w:val="00164875"/>
    <w:rsid w:val="00177BD6"/>
    <w:rsid w:val="001A0DDC"/>
    <w:rsid w:val="001A7329"/>
    <w:rsid w:val="001D0A34"/>
    <w:rsid w:val="001E25E4"/>
    <w:rsid w:val="001E36AF"/>
    <w:rsid w:val="001F1B3E"/>
    <w:rsid w:val="00201717"/>
    <w:rsid w:val="002229A6"/>
    <w:rsid w:val="002237DB"/>
    <w:rsid w:val="00233ED6"/>
    <w:rsid w:val="002405B6"/>
    <w:rsid w:val="002708AE"/>
    <w:rsid w:val="0027200C"/>
    <w:rsid w:val="0027301F"/>
    <w:rsid w:val="00294B85"/>
    <w:rsid w:val="002A12B3"/>
    <w:rsid w:val="002B4166"/>
    <w:rsid w:val="002C143E"/>
    <w:rsid w:val="002C14AF"/>
    <w:rsid w:val="002E1AF2"/>
    <w:rsid w:val="003156F4"/>
    <w:rsid w:val="00352F7E"/>
    <w:rsid w:val="00361637"/>
    <w:rsid w:val="00386E25"/>
    <w:rsid w:val="00396EB2"/>
    <w:rsid w:val="003D2B98"/>
    <w:rsid w:val="003D2EFD"/>
    <w:rsid w:val="003D7ED0"/>
    <w:rsid w:val="003E65DA"/>
    <w:rsid w:val="00402E07"/>
    <w:rsid w:val="004242BC"/>
    <w:rsid w:val="004A56B3"/>
    <w:rsid w:val="004C2550"/>
    <w:rsid w:val="00505CF5"/>
    <w:rsid w:val="0051046B"/>
    <w:rsid w:val="00527347"/>
    <w:rsid w:val="00530777"/>
    <w:rsid w:val="005363D8"/>
    <w:rsid w:val="00556BAC"/>
    <w:rsid w:val="00591625"/>
    <w:rsid w:val="005A40D6"/>
    <w:rsid w:val="005C286A"/>
    <w:rsid w:val="005E4934"/>
    <w:rsid w:val="00601457"/>
    <w:rsid w:val="00602767"/>
    <w:rsid w:val="00623631"/>
    <w:rsid w:val="00635785"/>
    <w:rsid w:val="006729B5"/>
    <w:rsid w:val="006748FF"/>
    <w:rsid w:val="006A4B41"/>
    <w:rsid w:val="006A515A"/>
    <w:rsid w:val="006B66B4"/>
    <w:rsid w:val="006C1BA3"/>
    <w:rsid w:val="006C382C"/>
    <w:rsid w:val="006D12AF"/>
    <w:rsid w:val="006E269D"/>
    <w:rsid w:val="00711B94"/>
    <w:rsid w:val="00716395"/>
    <w:rsid w:val="00727B8F"/>
    <w:rsid w:val="00746986"/>
    <w:rsid w:val="00756507"/>
    <w:rsid w:val="00766924"/>
    <w:rsid w:val="00777F75"/>
    <w:rsid w:val="00783678"/>
    <w:rsid w:val="007B04A6"/>
    <w:rsid w:val="007E3EAA"/>
    <w:rsid w:val="007F41AD"/>
    <w:rsid w:val="0083478B"/>
    <w:rsid w:val="00852A6C"/>
    <w:rsid w:val="008600DF"/>
    <w:rsid w:val="008641C5"/>
    <w:rsid w:val="00866A16"/>
    <w:rsid w:val="00871B3F"/>
    <w:rsid w:val="00873DEC"/>
    <w:rsid w:val="0088208F"/>
    <w:rsid w:val="008E10E2"/>
    <w:rsid w:val="008F2FA9"/>
    <w:rsid w:val="00901D50"/>
    <w:rsid w:val="0092659E"/>
    <w:rsid w:val="009364CF"/>
    <w:rsid w:val="00944284"/>
    <w:rsid w:val="009454B4"/>
    <w:rsid w:val="00946A50"/>
    <w:rsid w:val="00A82AC2"/>
    <w:rsid w:val="00A90809"/>
    <w:rsid w:val="00A91A4C"/>
    <w:rsid w:val="00A9622E"/>
    <w:rsid w:val="00AB2026"/>
    <w:rsid w:val="00AB4B3D"/>
    <w:rsid w:val="00AD376A"/>
    <w:rsid w:val="00AF412A"/>
    <w:rsid w:val="00B12BFE"/>
    <w:rsid w:val="00B40CF9"/>
    <w:rsid w:val="00B66904"/>
    <w:rsid w:val="00B739C9"/>
    <w:rsid w:val="00B80F6D"/>
    <w:rsid w:val="00B85624"/>
    <w:rsid w:val="00B9230A"/>
    <w:rsid w:val="00B94C93"/>
    <w:rsid w:val="00BA7199"/>
    <w:rsid w:val="00BB0A95"/>
    <w:rsid w:val="00BB22F8"/>
    <w:rsid w:val="00BC32D3"/>
    <w:rsid w:val="00BC4CCB"/>
    <w:rsid w:val="00BF0F54"/>
    <w:rsid w:val="00C21F52"/>
    <w:rsid w:val="00C34D06"/>
    <w:rsid w:val="00C40842"/>
    <w:rsid w:val="00C54A45"/>
    <w:rsid w:val="00C65488"/>
    <w:rsid w:val="00C65C68"/>
    <w:rsid w:val="00C93CDE"/>
    <w:rsid w:val="00CB71E2"/>
    <w:rsid w:val="00CC3D8A"/>
    <w:rsid w:val="00CF1E8F"/>
    <w:rsid w:val="00CF517C"/>
    <w:rsid w:val="00CF7B6B"/>
    <w:rsid w:val="00D12E71"/>
    <w:rsid w:val="00D318F8"/>
    <w:rsid w:val="00D62D97"/>
    <w:rsid w:val="00D706BC"/>
    <w:rsid w:val="00D746EA"/>
    <w:rsid w:val="00DD7AE2"/>
    <w:rsid w:val="00E3773B"/>
    <w:rsid w:val="00E37D0E"/>
    <w:rsid w:val="00E43103"/>
    <w:rsid w:val="00E70BEA"/>
    <w:rsid w:val="00E75095"/>
    <w:rsid w:val="00E85E95"/>
    <w:rsid w:val="00E87D54"/>
    <w:rsid w:val="00E90C68"/>
    <w:rsid w:val="00E9463C"/>
    <w:rsid w:val="00EA69F7"/>
    <w:rsid w:val="00ED622A"/>
    <w:rsid w:val="00F05841"/>
    <w:rsid w:val="00F13233"/>
    <w:rsid w:val="00F15FBF"/>
    <w:rsid w:val="00F23777"/>
    <w:rsid w:val="00F3115D"/>
    <w:rsid w:val="00F347B9"/>
    <w:rsid w:val="00F35771"/>
    <w:rsid w:val="00F70CB5"/>
    <w:rsid w:val="00F84DEE"/>
    <w:rsid w:val="00FA537F"/>
    <w:rsid w:val="00FC0B8C"/>
    <w:rsid w:val="00FD45C9"/>
    <w:rsid w:val="00FD6D54"/>
    <w:rsid w:val="00FD6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BEF7E0"/>
  <w15:docId w15:val="{E6D9E59A-3A3F-4658-9404-923E9C4F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CB5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D50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D50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D50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D50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1D50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01D50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aliases w:val="List Paragraph numbered,List Paragraph1,List Bullet indent,List 1,Other List,Bullet List,FooterText,numbered,Paragraphe de liste1,Bulletr List Paragraph,列出段落,列出段落1,Listeafsnit1,Parágrafo da Lista1,List Paragraph2,List Paragraph21,リスト段落1,L"/>
    <w:basedOn w:val="Normal"/>
    <w:link w:val="ListParagraphChar"/>
    <w:uiPriority w:val="34"/>
    <w:qFormat/>
    <w:rsid w:val="004C2550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01D50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customStyle="1" w:styleId="ListParagraphChar">
    <w:name w:val="List Paragraph Char"/>
    <w:aliases w:val="List Paragraph numbered Char,List Paragraph1 Char,List Bullet indent Char,List 1 Char,Other List Char,Bullet List Char,FooterText Char,numbered Char,Paragraphe de liste1 Char,Bulletr List Paragraph Char,列出段落 Char,列出段落1 Char,L Char"/>
    <w:basedOn w:val="DefaultParagraphFont"/>
    <w:link w:val="ListParagraph"/>
    <w:uiPriority w:val="34"/>
    <w:qFormat/>
    <w:rsid w:val="00F05841"/>
    <w:rPr>
      <w:sz w:val="22"/>
    </w:rPr>
  </w:style>
  <w:style w:type="table" w:styleId="TableGridLight">
    <w:name w:val="Grid Table Light"/>
    <w:basedOn w:val="TableNormal"/>
    <w:uiPriority w:val="40"/>
    <w:rsid w:val="00F0584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1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FEF"/>
    <w:pPr>
      <w:spacing w:after="0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27200C"/>
    <w:rPr>
      <w:color w:val="34303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xp-ngakete.tec.govt.nz/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3A74A18E4204A8E5FCDD47DE1EC48" ma:contentTypeVersion="6" ma:contentTypeDescription="Create a new document." ma:contentTypeScope="" ma:versionID="20a735a660cddfa727e266020bf38d86">
  <xsd:schema xmlns:xsd="http://www.w3.org/2001/XMLSchema" xmlns:xs="http://www.w3.org/2001/XMLSchema" xmlns:p="http://schemas.microsoft.com/office/2006/metadata/properties" xmlns:ns2="b7256649-78ea-4aab-b605-58f4bd832f64" xmlns:ns3="89c7eadf-bc7d-454d-80fa-0a55ae108e20" targetNamespace="http://schemas.microsoft.com/office/2006/metadata/properties" ma:root="true" ma:fieldsID="36f948acb53bb53ddec55ab22bea8401" ns2:_="" ns3:_="">
    <xsd:import namespace="b7256649-78ea-4aab-b605-58f4bd832f64"/>
    <xsd:import namespace="89c7eadf-bc7d-454d-80fa-0a55ae108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56649-78ea-4aab-b605-58f4bd832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7eadf-bc7d-454d-80fa-0a55ae108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DC4691BF00A443899034738234036697" version="1.0.0">
  <systemFields>
    <field name="Objective-Id">
      <value order="0">A2084295</value>
    </field>
    <field name="Objective-Title">
      <value order="0">2025 Milestone template LCPE</value>
    </field>
    <field name="Objective-Description">
      <value order="0"/>
    </field>
    <field name="Objective-CreationStamp">
      <value order="0">2023-04-27T20:35:14Z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2024-10-21T22:50:43Z</value>
    </field>
    <field name="Objective-Owner">
      <value order="0">Kate Hirschman</value>
    </field>
    <field name="Objective-Path">
      <value order="0">Objective Global Folder:TEC Global Folder (fA27):Investment Management:Funds:Learner Component Performance Element Fund:IV-F-UFS - Learner Component Fund- OPERATIONAL POLICY AND DESIGN:2025 - Operational Policy and Design - Learner Component Fund</value>
    </field>
    <field name="Objective-Parent">
      <value order="0">2025 - Operational Policy and Design - Learner Component Fund</value>
    </field>
    <field name="Objective-State">
      <value order="0">Being Drafted</value>
    </field>
    <field name="Objective-VersionId">
      <value order="0">vA4695023</value>
    </field>
    <field name="Objective-Version">
      <value order="0">1.4</value>
    </field>
    <field name="Objective-VersionNumber">
      <value order="0">20</value>
    </field>
    <field name="Objective-VersionComment">
      <value order="0"/>
    </field>
    <field name="Objective-FileNumber">
      <value order="0">IV-F-44-09/23-0579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SharedContentType xmlns="Microsoft.SharePoint.Taxonomy.ContentTypeSync" SourceId="1f6ff3ca-fd37-48f8-bbb1-1ddf95be4f08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F4516-30D8-484B-9FF6-E8E3D301C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B51EC-655A-4FAB-A773-9D4D445B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56649-78ea-4aab-b605-58f4bd832f64"/>
    <ds:schemaRef ds:uri="89c7eadf-bc7d-454d-80fa-0a55ae108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4.xml><?xml version="1.0" encoding="utf-8"?>
<ds:datastoreItem xmlns:ds="http://schemas.openxmlformats.org/officeDocument/2006/customXml" ds:itemID="{50594933-4FB0-48B2-A139-03BE0E1E21D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8F09CB4-74C7-4440-A6AC-D27DF9D35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460BBA2-6E88-4078-8CF1-6D9DAE064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3797</Characters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Component Performance Element – Schedule of Payments 2025</dc:title>
  <cp:lastPrinted>2015-06-16T03:20:00Z</cp:lastPrinted>
  <dcterms:created xsi:type="dcterms:W3CDTF">2024-10-22T02:17:00Z</dcterms:created>
  <dcterms:modified xsi:type="dcterms:W3CDTF">2024-10-22T02:17:00Z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A2084295</vt:lpwstr>
  </property>
  <property fmtid="{D5CDD505-2E9C-101B-9397-08002B2CF9AE}" pid="4" name="Objective-Title">
    <vt:lpwstr>2025 Milestone template LCPE</vt:lpwstr>
  </property>
  <property fmtid="{D5CDD505-2E9C-101B-9397-08002B2CF9AE}" pid="5" name="Objective-Comment">
    <vt:lpwstr/>
  </property>
  <property fmtid="{D5CDD505-2E9C-101B-9397-08002B2CF9AE}" pid="6" name="Objective-CreationStamp">
    <vt:filetime>2024-08-08T01:53:57Z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2024-10-21T22:50:43Z</vt:filetime>
  </property>
  <property fmtid="{D5CDD505-2E9C-101B-9397-08002B2CF9AE}" pid="11" name="Objective-Owner">
    <vt:lpwstr>Kate Hirschman</vt:lpwstr>
  </property>
  <property fmtid="{D5CDD505-2E9C-101B-9397-08002B2CF9AE}" pid="12" name="Objective-Path">
    <vt:lpwstr>Objective Global Folder:TEC Global Folder (fA27):Investment Management:Funds:Learner Component Performance Element Fund:IV-F-UFS - Learner Component Fund- OPERATIONAL POLICY AND DESIGN:2025 - Operational Policy and Design - Learner Component Fund:</vt:lpwstr>
  </property>
  <property fmtid="{D5CDD505-2E9C-101B-9397-08002B2CF9AE}" pid="13" name="Objective-Parent">
    <vt:lpwstr>2025 - Operational Policy and Design - Learner Component Fund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1.4</vt:lpwstr>
  </property>
  <property fmtid="{D5CDD505-2E9C-101B-9397-08002B2CF9AE}" pid="16" name="Objective-VersionNumber">
    <vt:r8>20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Reference [system]">
    <vt:lpwstr/>
  </property>
  <property fmtid="{D5CDD505-2E9C-101B-9397-08002B2CF9AE}" pid="22" name="Objective-Date [system]">
    <vt:lpwstr/>
  </property>
  <property fmtid="{D5CDD505-2E9C-101B-9397-08002B2CF9AE}" pid="23" name="Objective-Action [system]">
    <vt:lpwstr/>
  </property>
  <property fmtid="{D5CDD505-2E9C-101B-9397-08002B2CF9AE}" pid="24" name="Objective-Responsible [system]">
    <vt:lpwstr/>
  </property>
  <property fmtid="{D5CDD505-2E9C-101B-9397-08002B2CF9AE}" pid="25" name="Objective-Financial Year [system]">
    <vt:lpwstr/>
  </property>
  <property fmtid="{D5CDD505-2E9C-101B-9397-08002B2CF9AE}" pid="26" name="Objective-Calendar Year [system]">
    <vt:lpwstr/>
  </property>
  <property fmtid="{D5CDD505-2E9C-101B-9397-08002B2CF9AE}" pid="27" name="Objective-EDUMIS Number [system]">
    <vt:lpwstr/>
  </property>
  <property fmtid="{D5CDD505-2E9C-101B-9397-08002B2CF9AE}" pid="28" name="Objective-Sub Sector [system]">
    <vt:lpwstr/>
  </property>
  <property fmtid="{D5CDD505-2E9C-101B-9397-08002B2CF9AE}" pid="29" name="Objective-Fund Name [system]">
    <vt:lpwstr/>
  </property>
  <property fmtid="{D5CDD505-2E9C-101B-9397-08002B2CF9AE}" pid="30" name="ContentTypeId">
    <vt:lpwstr>0x0101001B73A74A18E4204A8E5FCDD47DE1EC48</vt:lpwstr>
  </property>
  <property fmtid="{D5CDD505-2E9C-101B-9397-08002B2CF9AE}" pid="31" name="Objective-Description">
    <vt:lpwstr/>
  </property>
  <property fmtid="{D5CDD505-2E9C-101B-9397-08002B2CF9AE}" pid="32" name="Objective-VersionId">
    <vt:lpwstr>vA4695023</vt:lpwstr>
  </property>
  <property fmtid="{D5CDD505-2E9C-101B-9397-08002B2CF9AE}" pid="33" name="Objective-Reference">
    <vt:lpwstr/>
  </property>
  <property fmtid="{D5CDD505-2E9C-101B-9397-08002B2CF9AE}" pid="34" name="Objective-Date">
    <vt:lpwstr/>
  </property>
  <property fmtid="{D5CDD505-2E9C-101B-9397-08002B2CF9AE}" pid="35" name="Objective-Action">
    <vt:lpwstr/>
  </property>
  <property fmtid="{D5CDD505-2E9C-101B-9397-08002B2CF9AE}" pid="36" name="Objective-Responsible">
    <vt:lpwstr/>
  </property>
  <property fmtid="{D5CDD505-2E9C-101B-9397-08002B2CF9AE}" pid="37" name="Objective-Financial Year">
    <vt:lpwstr/>
  </property>
  <property fmtid="{D5CDD505-2E9C-101B-9397-08002B2CF9AE}" pid="38" name="Objective-Calendar Year">
    <vt:lpwstr/>
  </property>
  <property fmtid="{D5CDD505-2E9C-101B-9397-08002B2CF9AE}" pid="39" name="Objective-EDUMIS Number">
    <vt:lpwstr/>
  </property>
  <property fmtid="{D5CDD505-2E9C-101B-9397-08002B2CF9AE}" pid="40" name="Objective-Sub Sector">
    <vt:lpwstr/>
  </property>
  <property fmtid="{D5CDD505-2E9C-101B-9397-08002B2CF9AE}" pid="41" name="Objective-Fund Name">
    <vt:lpwstr/>
  </property>
  <property fmtid="{D5CDD505-2E9C-101B-9397-08002B2CF9AE}" pid="42" name="Objective-Connect Creator">
    <vt:lpwstr/>
  </property>
</Properties>
</file>