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15C" w:rsidRDefault="0066115C" w:rsidP="007410C9">
      <w:pPr>
        <w:pStyle w:val="Heading1"/>
        <w:spacing w:before="0"/>
      </w:pPr>
      <w:bookmarkStart w:id="0" w:name="_Initial_Privacy_Impact_1"/>
      <w:bookmarkStart w:id="1" w:name="_Toc56442482"/>
      <w:bookmarkStart w:id="2" w:name="_Toc56442952"/>
      <w:bookmarkStart w:id="3" w:name="_Toc56443577"/>
      <w:bookmarkStart w:id="4" w:name="_Toc57801715"/>
      <w:bookmarkStart w:id="5" w:name="_GoBack"/>
      <w:bookmarkEnd w:id="0"/>
      <w:bookmarkEnd w:id="5"/>
      <w:r>
        <w:t>Initial Privacy Impact Assessment Report</w:t>
      </w:r>
      <w:bookmarkEnd w:id="1"/>
      <w:bookmarkEnd w:id="2"/>
      <w:bookmarkEnd w:id="3"/>
      <w:bookmarkEnd w:id="4"/>
    </w:p>
    <w:p w:rsidR="0066115C" w:rsidRDefault="0066115C" w:rsidP="0066115C">
      <w:pPr>
        <w:pStyle w:val="Heading3"/>
        <w:spacing w:after="240"/>
      </w:pPr>
      <w:r>
        <w:t>Use of learner analytics</w:t>
      </w:r>
    </w:p>
    <w:tbl>
      <w:tblPr>
        <w:tblStyle w:val="TableGrid"/>
        <w:tblW w:w="0" w:type="auto"/>
        <w:tblBorders>
          <w:top w:val="dotted" w:sz="6" w:space="0" w:color="FF9900"/>
          <w:left w:val="none" w:sz="0" w:space="0" w:color="auto"/>
          <w:bottom w:val="dotted" w:sz="6" w:space="0" w:color="FF9900"/>
          <w:right w:val="none" w:sz="0" w:space="0" w:color="auto"/>
          <w:insideH w:val="dotted" w:sz="6" w:space="0" w:color="FF9900"/>
          <w:insideV w:val="none" w:sz="0" w:space="0" w:color="auto"/>
        </w:tblBorders>
        <w:tblLook w:val="04A0" w:firstRow="1" w:lastRow="0" w:firstColumn="1" w:lastColumn="0" w:noHBand="0" w:noVBand="1"/>
      </w:tblPr>
      <w:tblGrid>
        <w:gridCol w:w="3402"/>
        <w:gridCol w:w="6220"/>
      </w:tblGrid>
      <w:tr w:rsidR="0066115C" w:rsidRPr="0066115C" w:rsidTr="007410C9">
        <w:tc>
          <w:tcPr>
            <w:tcW w:w="9622" w:type="dxa"/>
            <w:gridSpan w:val="2"/>
          </w:tcPr>
          <w:p w:rsidR="0066115C" w:rsidRPr="0066115C" w:rsidRDefault="0066115C" w:rsidP="0066115C">
            <w:pPr>
              <w:spacing w:before="120" w:after="120"/>
            </w:pPr>
            <w:r w:rsidRPr="0066115C">
              <w:t>This report is to be completed in response to a PIA questionnaire for the use of learner analytics:</w:t>
            </w:r>
          </w:p>
        </w:tc>
      </w:tr>
      <w:tr w:rsidR="0066115C" w:rsidRPr="0066115C" w:rsidTr="007410C9">
        <w:tc>
          <w:tcPr>
            <w:tcW w:w="3402" w:type="dxa"/>
          </w:tcPr>
          <w:p w:rsidR="0066115C" w:rsidRPr="0066115C" w:rsidRDefault="0066115C" w:rsidP="0066115C">
            <w:pPr>
              <w:spacing w:before="120" w:after="120"/>
              <w:rPr>
                <w:b/>
              </w:rPr>
            </w:pPr>
            <w:r w:rsidRPr="0066115C">
              <w:rPr>
                <w:b/>
              </w:rPr>
              <w:t>Change summary</w:t>
            </w:r>
          </w:p>
        </w:tc>
        <w:tc>
          <w:tcPr>
            <w:tcW w:w="6220" w:type="dxa"/>
          </w:tcPr>
          <w:p w:rsidR="0066115C" w:rsidRDefault="0066115C" w:rsidP="0066115C">
            <w:pPr>
              <w:spacing w:before="120"/>
            </w:pPr>
            <w:r w:rsidRPr="0066115C">
              <w:t xml:space="preserve">[Adoption of learner analytics – when data generated by a student prior to entry and during learning can be used to indicate where an early intervention with the student may be appropriate to improve their experience or target specific support to individual students. </w:t>
            </w:r>
          </w:p>
          <w:p w:rsidR="0066115C" w:rsidRDefault="0066115C" w:rsidP="007C469C">
            <w:r w:rsidRPr="0066115C">
              <w:t xml:space="preserve">Such intervention can include contact in the form of referral to student services, academic advice, or sending messages to students to spur certain actions. </w:t>
            </w:r>
          </w:p>
          <w:p w:rsidR="0066115C" w:rsidRPr="0066115C" w:rsidRDefault="0066115C" w:rsidP="0066115C">
            <w:pPr>
              <w:spacing w:after="120"/>
            </w:pPr>
            <w:r w:rsidRPr="0066115C">
              <w:t>Learning analytics may be used to inform changes to teaching and classroom learning design and support staff to provide effective information and pedagogical input.]</w:t>
            </w:r>
          </w:p>
        </w:tc>
      </w:tr>
      <w:tr w:rsidR="0066115C" w:rsidRPr="0066115C" w:rsidTr="007410C9">
        <w:tc>
          <w:tcPr>
            <w:tcW w:w="3402" w:type="dxa"/>
          </w:tcPr>
          <w:p w:rsidR="0066115C" w:rsidRPr="0066115C" w:rsidRDefault="0066115C" w:rsidP="007410C9">
            <w:pPr>
              <w:spacing w:before="240" w:after="240"/>
              <w:rPr>
                <w:b/>
              </w:rPr>
            </w:pPr>
            <w:r w:rsidRPr="0066115C">
              <w:rPr>
                <w:b/>
              </w:rPr>
              <w:t>Sponsor</w:t>
            </w:r>
          </w:p>
        </w:tc>
        <w:tc>
          <w:tcPr>
            <w:tcW w:w="6220" w:type="dxa"/>
          </w:tcPr>
          <w:p w:rsidR="0066115C" w:rsidRPr="0066115C" w:rsidRDefault="0066115C" w:rsidP="007410C9">
            <w:pPr>
              <w:spacing w:before="240" w:after="240"/>
            </w:pPr>
          </w:p>
        </w:tc>
      </w:tr>
      <w:tr w:rsidR="0066115C" w:rsidRPr="0066115C" w:rsidTr="007410C9">
        <w:tc>
          <w:tcPr>
            <w:tcW w:w="3402" w:type="dxa"/>
          </w:tcPr>
          <w:p w:rsidR="0066115C" w:rsidRPr="0066115C" w:rsidRDefault="0066115C" w:rsidP="007410C9">
            <w:pPr>
              <w:spacing w:before="240" w:after="240"/>
              <w:rPr>
                <w:b/>
              </w:rPr>
            </w:pPr>
            <w:r w:rsidRPr="0066115C">
              <w:rPr>
                <w:b/>
              </w:rPr>
              <w:t>Date completed</w:t>
            </w:r>
          </w:p>
        </w:tc>
        <w:tc>
          <w:tcPr>
            <w:tcW w:w="6220" w:type="dxa"/>
          </w:tcPr>
          <w:p w:rsidR="0066115C" w:rsidRPr="0066115C" w:rsidRDefault="0066115C" w:rsidP="007410C9">
            <w:pPr>
              <w:spacing w:before="240" w:after="240"/>
            </w:pPr>
          </w:p>
        </w:tc>
      </w:tr>
    </w:tbl>
    <w:p w:rsidR="0066115C" w:rsidRDefault="0066115C" w:rsidP="007410C9">
      <w:pPr>
        <w:pStyle w:val="Heading3"/>
        <w:spacing w:before="480" w:after="240"/>
      </w:pPr>
      <w:r>
        <w:t>Assessment table</w:t>
      </w:r>
    </w:p>
    <w:p w:rsidR="0066115C" w:rsidRDefault="0066115C" w:rsidP="0066115C">
      <w:r>
        <w:t>This table summarises the privacy aspects of the proposed change and assesses the privacy risk.</w:t>
      </w:r>
    </w:p>
    <w:p w:rsidR="0066115C" w:rsidRDefault="0066115C" w:rsidP="002144D5">
      <w:pPr>
        <w:spacing w:after="240"/>
      </w:pPr>
      <w:r>
        <w:t>The Assessment column key is: S = Satisfactory; MI = More information needed; RM = Risk mitigation recommended (at the conclusion of this report).</w:t>
      </w:r>
    </w:p>
    <w:tbl>
      <w:tblPr>
        <w:tblStyle w:val="TableGrid"/>
        <w:tblW w:w="9622" w:type="dxa"/>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ayout w:type="fixed"/>
        <w:tblLook w:val="04A0" w:firstRow="1" w:lastRow="0" w:firstColumn="1" w:lastColumn="0" w:noHBand="0" w:noVBand="1"/>
      </w:tblPr>
      <w:tblGrid>
        <w:gridCol w:w="3207"/>
        <w:gridCol w:w="4868"/>
        <w:gridCol w:w="1547"/>
      </w:tblGrid>
      <w:tr w:rsidR="00881C20" w:rsidRPr="00881C20" w:rsidTr="007410C9">
        <w:trPr>
          <w:tblHeader/>
        </w:trPr>
        <w:tc>
          <w:tcPr>
            <w:tcW w:w="3207" w:type="dxa"/>
            <w:tcBorders>
              <w:top w:val="nil"/>
              <w:left w:val="nil"/>
            </w:tcBorders>
          </w:tcPr>
          <w:p w:rsidR="00881C20" w:rsidRPr="00881C20" w:rsidRDefault="00881C20" w:rsidP="00881C20">
            <w:pPr>
              <w:spacing w:before="60"/>
              <w:rPr>
                <w:b/>
              </w:rPr>
            </w:pPr>
          </w:p>
        </w:tc>
        <w:tc>
          <w:tcPr>
            <w:tcW w:w="4868" w:type="dxa"/>
          </w:tcPr>
          <w:p w:rsidR="00881C20" w:rsidRPr="00881C20" w:rsidRDefault="00881C20" w:rsidP="007410C9">
            <w:pPr>
              <w:spacing w:before="60" w:after="60"/>
              <w:rPr>
                <w:b/>
              </w:rPr>
            </w:pPr>
            <w:r w:rsidRPr="00881C20">
              <w:rPr>
                <w:b/>
              </w:rPr>
              <w:t>Summary</w:t>
            </w:r>
          </w:p>
        </w:tc>
        <w:tc>
          <w:tcPr>
            <w:tcW w:w="1547" w:type="dxa"/>
          </w:tcPr>
          <w:p w:rsidR="00881C20" w:rsidRPr="00881C20" w:rsidRDefault="00881C20" w:rsidP="007410C9">
            <w:pPr>
              <w:spacing w:before="60" w:after="60"/>
              <w:rPr>
                <w:b/>
              </w:rPr>
            </w:pPr>
            <w:r w:rsidRPr="00881C20">
              <w:rPr>
                <w:b/>
              </w:rPr>
              <w:t>Assessment</w:t>
            </w:r>
            <w:r>
              <w:rPr>
                <w:b/>
              </w:rPr>
              <w:br/>
            </w:r>
            <w:r w:rsidRPr="00881C20">
              <w:rPr>
                <w:b/>
              </w:rPr>
              <w:t>(S/MI/RM)</w:t>
            </w:r>
          </w:p>
        </w:tc>
      </w:tr>
      <w:tr w:rsidR="00881C20" w:rsidRPr="00881C20" w:rsidTr="007410C9">
        <w:tc>
          <w:tcPr>
            <w:tcW w:w="3207" w:type="dxa"/>
          </w:tcPr>
          <w:p w:rsidR="00881C20" w:rsidRPr="002144D5" w:rsidRDefault="00881C20" w:rsidP="007410C9">
            <w:pPr>
              <w:spacing w:before="120" w:after="120"/>
              <w:rPr>
                <w:b/>
              </w:rPr>
            </w:pPr>
            <w:r w:rsidRPr="002144D5">
              <w:rPr>
                <w:b/>
              </w:rPr>
              <w:t>Personal information</w:t>
            </w:r>
            <w:r w:rsidR="007410C9">
              <w:rPr>
                <w:b/>
              </w:rPr>
              <w:t xml:space="preserve"> </w:t>
            </w:r>
            <w:r w:rsidR="007410C9">
              <w:rPr>
                <w:b/>
              </w:rPr>
              <w:br/>
            </w:r>
            <w:r w:rsidRPr="002144D5">
              <w:rPr>
                <w:b/>
              </w:rPr>
              <w:t>(incl. sensitive)</w:t>
            </w:r>
          </w:p>
        </w:tc>
        <w:tc>
          <w:tcPr>
            <w:tcW w:w="4868" w:type="dxa"/>
          </w:tcPr>
          <w:p w:rsidR="00881C20" w:rsidRPr="00881C20" w:rsidRDefault="00881C20" w:rsidP="002144D5">
            <w:pPr>
              <w:spacing w:before="120" w:after="120"/>
            </w:pPr>
          </w:p>
        </w:tc>
        <w:tc>
          <w:tcPr>
            <w:tcW w:w="1547" w:type="dxa"/>
          </w:tcPr>
          <w:p w:rsidR="00881C20" w:rsidRPr="00881C20" w:rsidRDefault="00881C20" w:rsidP="002144D5">
            <w:pPr>
              <w:spacing w:before="120" w:after="120"/>
            </w:pPr>
          </w:p>
        </w:tc>
      </w:tr>
      <w:tr w:rsidR="002144D5" w:rsidRPr="00881C20" w:rsidTr="007410C9">
        <w:tc>
          <w:tcPr>
            <w:tcW w:w="3207" w:type="dxa"/>
            <w:vMerge w:val="restart"/>
          </w:tcPr>
          <w:p w:rsidR="002144D5" w:rsidRPr="002144D5" w:rsidRDefault="002144D5" w:rsidP="002144D5">
            <w:pPr>
              <w:spacing w:before="120" w:after="120"/>
              <w:rPr>
                <w:b/>
              </w:rPr>
            </w:pPr>
            <w:r w:rsidRPr="002144D5">
              <w:rPr>
                <w:b/>
              </w:rPr>
              <w:t>Information source</w:t>
            </w:r>
          </w:p>
        </w:tc>
        <w:tc>
          <w:tcPr>
            <w:tcW w:w="4868" w:type="dxa"/>
          </w:tcPr>
          <w:p w:rsidR="002144D5" w:rsidRPr="002144D5" w:rsidRDefault="002144D5" w:rsidP="002144D5">
            <w:pPr>
              <w:spacing w:before="120" w:after="120"/>
              <w:rPr>
                <w:b/>
              </w:rPr>
            </w:pPr>
            <w:r w:rsidRPr="002144D5">
              <w:rPr>
                <w:b/>
              </w:rPr>
              <w:t>Individual:</w:t>
            </w: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Direct third party:</w:t>
            </w: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Other third party:</w:t>
            </w:r>
          </w:p>
        </w:tc>
        <w:tc>
          <w:tcPr>
            <w:tcW w:w="1547" w:type="dxa"/>
          </w:tcPr>
          <w:p w:rsidR="002144D5" w:rsidRPr="00881C20" w:rsidRDefault="002144D5" w:rsidP="002144D5">
            <w:pPr>
              <w:spacing w:before="120" w:after="120"/>
            </w:pPr>
          </w:p>
        </w:tc>
      </w:tr>
      <w:tr w:rsidR="00881C20" w:rsidRPr="00881C20" w:rsidTr="007410C9">
        <w:tc>
          <w:tcPr>
            <w:tcW w:w="3207" w:type="dxa"/>
          </w:tcPr>
          <w:p w:rsidR="00881C20" w:rsidRPr="002144D5" w:rsidRDefault="00881C20" w:rsidP="002144D5">
            <w:pPr>
              <w:spacing w:before="120" w:after="120"/>
              <w:rPr>
                <w:b/>
              </w:rPr>
            </w:pPr>
            <w:r w:rsidRPr="002144D5">
              <w:rPr>
                <w:b/>
              </w:rPr>
              <w:t>Storage</w:t>
            </w:r>
          </w:p>
        </w:tc>
        <w:tc>
          <w:tcPr>
            <w:tcW w:w="4868" w:type="dxa"/>
          </w:tcPr>
          <w:p w:rsidR="00881C20" w:rsidRPr="00881C20" w:rsidRDefault="00881C20" w:rsidP="002144D5">
            <w:pPr>
              <w:spacing w:before="120" w:after="120"/>
            </w:pPr>
          </w:p>
        </w:tc>
        <w:tc>
          <w:tcPr>
            <w:tcW w:w="1547" w:type="dxa"/>
          </w:tcPr>
          <w:p w:rsidR="00881C20" w:rsidRPr="00881C20" w:rsidRDefault="00881C20" w:rsidP="002144D5">
            <w:pPr>
              <w:spacing w:before="120" w:after="120"/>
            </w:pPr>
          </w:p>
        </w:tc>
      </w:tr>
      <w:tr w:rsidR="00881C20" w:rsidRPr="00881C20" w:rsidTr="007410C9">
        <w:tc>
          <w:tcPr>
            <w:tcW w:w="3207" w:type="dxa"/>
          </w:tcPr>
          <w:p w:rsidR="00881C20" w:rsidRPr="002144D5" w:rsidRDefault="00881C20" w:rsidP="002144D5">
            <w:pPr>
              <w:spacing w:before="120" w:after="120"/>
              <w:rPr>
                <w:b/>
              </w:rPr>
            </w:pPr>
            <w:r w:rsidRPr="002144D5">
              <w:rPr>
                <w:b/>
              </w:rPr>
              <w:t>Security</w:t>
            </w:r>
          </w:p>
        </w:tc>
        <w:tc>
          <w:tcPr>
            <w:tcW w:w="4868" w:type="dxa"/>
          </w:tcPr>
          <w:p w:rsidR="00881C20" w:rsidRPr="00881C20" w:rsidRDefault="00881C20" w:rsidP="002144D5">
            <w:pPr>
              <w:spacing w:before="120" w:after="120"/>
            </w:pPr>
          </w:p>
        </w:tc>
        <w:tc>
          <w:tcPr>
            <w:tcW w:w="1547" w:type="dxa"/>
          </w:tcPr>
          <w:p w:rsidR="00881C20" w:rsidRPr="00881C20" w:rsidRDefault="00881C20" w:rsidP="002144D5">
            <w:pPr>
              <w:spacing w:before="120" w:after="120"/>
            </w:pPr>
          </w:p>
        </w:tc>
      </w:tr>
      <w:tr w:rsidR="00881C20" w:rsidRPr="00881C20" w:rsidTr="007410C9">
        <w:tc>
          <w:tcPr>
            <w:tcW w:w="3207" w:type="dxa"/>
          </w:tcPr>
          <w:p w:rsidR="00881C20" w:rsidRPr="002144D5" w:rsidRDefault="00881C20" w:rsidP="002144D5">
            <w:pPr>
              <w:spacing w:before="120" w:after="120"/>
              <w:rPr>
                <w:b/>
              </w:rPr>
            </w:pPr>
            <w:r w:rsidRPr="002144D5">
              <w:rPr>
                <w:b/>
              </w:rPr>
              <w:t>Access and correction processes</w:t>
            </w:r>
          </w:p>
        </w:tc>
        <w:tc>
          <w:tcPr>
            <w:tcW w:w="4868" w:type="dxa"/>
          </w:tcPr>
          <w:p w:rsidR="00881C20" w:rsidRPr="00881C20" w:rsidRDefault="00881C20" w:rsidP="002144D5">
            <w:pPr>
              <w:spacing w:before="120" w:after="120"/>
            </w:pPr>
          </w:p>
        </w:tc>
        <w:tc>
          <w:tcPr>
            <w:tcW w:w="1547" w:type="dxa"/>
          </w:tcPr>
          <w:p w:rsidR="00881C20" w:rsidRPr="00881C20" w:rsidRDefault="00881C20" w:rsidP="002144D5">
            <w:pPr>
              <w:spacing w:before="120" w:after="120"/>
            </w:pPr>
          </w:p>
        </w:tc>
      </w:tr>
      <w:tr w:rsidR="00881C20" w:rsidRPr="00881C20" w:rsidTr="007410C9">
        <w:tc>
          <w:tcPr>
            <w:tcW w:w="3207" w:type="dxa"/>
          </w:tcPr>
          <w:p w:rsidR="00881C20" w:rsidRPr="002144D5" w:rsidRDefault="00881C20" w:rsidP="002144D5">
            <w:pPr>
              <w:spacing w:before="120" w:after="120"/>
              <w:rPr>
                <w:b/>
              </w:rPr>
            </w:pPr>
            <w:r w:rsidRPr="002144D5">
              <w:rPr>
                <w:b/>
              </w:rPr>
              <w:t>Accuracy</w:t>
            </w:r>
          </w:p>
        </w:tc>
        <w:tc>
          <w:tcPr>
            <w:tcW w:w="4868" w:type="dxa"/>
          </w:tcPr>
          <w:p w:rsidR="00881C20" w:rsidRPr="00881C20" w:rsidRDefault="00881C20" w:rsidP="002144D5">
            <w:pPr>
              <w:spacing w:before="120" w:after="120"/>
            </w:pPr>
          </w:p>
        </w:tc>
        <w:tc>
          <w:tcPr>
            <w:tcW w:w="1547" w:type="dxa"/>
          </w:tcPr>
          <w:p w:rsidR="00881C20" w:rsidRPr="00881C20" w:rsidRDefault="00881C20" w:rsidP="002144D5">
            <w:pPr>
              <w:spacing w:before="120" w:after="120"/>
            </w:pPr>
          </w:p>
        </w:tc>
      </w:tr>
      <w:tr w:rsidR="002144D5" w:rsidRPr="00881C20" w:rsidTr="007410C9">
        <w:tc>
          <w:tcPr>
            <w:tcW w:w="3207" w:type="dxa"/>
            <w:vMerge w:val="restart"/>
          </w:tcPr>
          <w:p w:rsidR="002144D5" w:rsidRPr="002144D5" w:rsidRDefault="002144D5" w:rsidP="002144D5">
            <w:pPr>
              <w:spacing w:before="120" w:after="120"/>
              <w:rPr>
                <w:b/>
              </w:rPr>
            </w:pPr>
            <w:r w:rsidRPr="002144D5">
              <w:rPr>
                <w:b/>
              </w:rPr>
              <w:t>Information use</w:t>
            </w:r>
          </w:p>
        </w:tc>
        <w:tc>
          <w:tcPr>
            <w:tcW w:w="4868" w:type="dxa"/>
          </w:tcPr>
          <w:p w:rsidR="002144D5" w:rsidRPr="00881C20" w:rsidRDefault="002144D5" w:rsidP="002144D5">
            <w:pPr>
              <w:spacing w:before="120" w:after="120"/>
            </w:pP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Algorithms or automated decision making:</w:t>
            </w: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Research/analysis:</w:t>
            </w: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Consent/authority for use:</w:t>
            </w:r>
          </w:p>
        </w:tc>
        <w:tc>
          <w:tcPr>
            <w:tcW w:w="1547" w:type="dxa"/>
          </w:tcPr>
          <w:p w:rsidR="002144D5" w:rsidRPr="00881C20" w:rsidRDefault="002144D5" w:rsidP="002144D5">
            <w:pPr>
              <w:spacing w:before="120" w:after="120"/>
            </w:pPr>
          </w:p>
        </w:tc>
      </w:tr>
      <w:tr w:rsidR="002144D5" w:rsidRPr="00881C20" w:rsidTr="007410C9">
        <w:tc>
          <w:tcPr>
            <w:tcW w:w="3207" w:type="dxa"/>
            <w:vMerge w:val="restart"/>
          </w:tcPr>
          <w:p w:rsidR="002144D5" w:rsidRPr="002144D5" w:rsidRDefault="002144D5" w:rsidP="002144D5">
            <w:pPr>
              <w:spacing w:before="120" w:after="120"/>
              <w:rPr>
                <w:b/>
              </w:rPr>
            </w:pPr>
            <w:r w:rsidRPr="002144D5">
              <w:rPr>
                <w:b/>
              </w:rPr>
              <w:t>Sharing</w:t>
            </w:r>
          </w:p>
        </w:tc>
        <w:tc>
          <w:tcPr>
            <w:tcW w:w="4868" w:type="dxa"/>
          </w:tcPr>
          <w:p w:rsidR="002144D5" w:rsidRPr="00881C20" w:rsidRDefault="002144D5" w:rsidP="002144D5">
            <w:pPr>
              <w:spacing w:before="120" w:after="120"/>
            </w:pP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Communication of use:</w:t>
            </w: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Rationale for sharing:</w:t>
            </w: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Parties involved in sharing and information shared:</w:t>
            </w: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Consent/authority for sharing:</w:t>
            </w: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Communication for sharing:</w:t>
            </w: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Safeguards for sharing:</w:t>
            </w:r>
            <w:r w:rsidRPr="002144D5">
              <w:rPr>
                <w:b/>
              </w:rPr>
              <w:tab/>
            </w:r>
          </w:p>
        </w:tc>
        <w:tc>
          <w:tcPr>
            <w:tcW w:w="1547" w:type="dxa"/>
          </w:tcPr>
          <w:p w:rsidR="002144D5" w:rsidRPr="00881C20" w:rsidRDefault="002144D5" w:rsidP="002144D5">
            <w:pPr>
              <w:spacing w:before="120" w:after="120"/>
            </w:pPr>
          </w:p>
        </w:tc>
      </w:tr>
      <w:tr w:rsidR="002144D5" w:rsidRPr="00881C20" w:rsidTr="007410C9">
        <w:tc>
          <w:tcPr>
            <w:tcW w:w="3207" w:type="dxa"/>
            <w:vMerge w:val="restart"/>
          </w:tcPr>
          <w:p w:rsidR="002144D5" w:rsidRPr="002144D5" w:rsidRDefault="002144D5" w:rsidP="002144D5">
            <w:pPr>
              <w:spacing w:before="120" w:after="120"/>
              <w:rPr>
                <w:b/>
              </w:rPr>
            </w:pPr>
            <w:r w:rsidRPr="002144D5">
              <w:rPr>
                <w:b/>
              </w:rPr>
              <w:t>Retention and disposal</w:t>
            </w:r>
          </w:p>
        </w:tc>
        <w:tc>
          <w:tcPr>
            <w:tcW w:w="4868" w:type="dxa"/>
          </w:tcPr>
          <w:p w:rsidR="002144D5" w:rsidRPr="002144D5" w:rsidRDefault="002144D5" w:rsidP="002144D5">
            <w:pPr>
              <w:spacing w:before="120" w:after="120"/>
              <w:rPr>
                <w:b/>
              </w:rPr>
            </w:pPr>
            <w:r w:rsidRPr="002144D5">
              <w:rPr>
                <w:b/>
              </w:rPr>
              <w:t>Period of retention and rationale:</w:t>
            </w:r>
          </w:p>
        </w:tc>
        <w:tc>
          <w:tcPr>
            <w:tcW w:w="1547" w:type="dxa"/>
          </w:tcPr>
          <w:p w:rsidR="002144D5" w:rsidRPr="00881C20" w:rsidRDefault="002144D5" w:rsidP="002144D5">
            <w:pPr>
              <w:spacing w:before="120" w:after="120"/>
            </w:pPr>
          </w:p>
        </w:tc>
      </w:tr>
      <w:tr w:rsidR="002144D5" w:rsidRPr="00881C20" w:rsidTr="007410C9">
        <w:tc>
          <w:tcPr>
            <w:tcW w:w="3207" w:type="dxa"/>
            <w:vMerge/>
          </w:tcPr>
          <w:p w:rsidR="002144D5" w:rsidRPr="002144D5" w:rsidRDefault="002144D5" w:rsidP="002144D5">
            <w:pPr>
              <w:spacing w:before="120" w:after="120"/>
              <w:rPr>
                <w:b/>
              </w:rPr>
            </w:pPr>
          </w:p>
        </w:tc>
        <w:tc>
          <w:tcPr>
            <w:tcW w:w="4868" w:type="dxa"/>
          </w:tcPr>
          <w:p w:rsidR="002144D5" w:rsidRPr="002144D5" w:rsidRDefault="002144D5" w:rsidP="002144D5">
            <w:pPr>
              <w:spacing w:before="120" w:after="120"/>
              <w:rPr>
                <w:b/>
              </w:rPr>
            </w:pPr>
            <w:r w:rsidRPr="002144D5">
              <w:rPr>
                <w:b/>
              </w:rPr>
              <w:t>Disposal method:</w:t>
            </w:r>
          </w:p>
        </w:tc>
        <w:tc>
          <w:tcPr>
            <w:tcW w:w="1547" w:type="dxa"/>
          </w:tcPr>
          <w:p w:rsidR="002144D5" w:rsidRPr="00881C20" w:rsidRDefault="002144D5" w:rsidP="002144D5">
            <w:pPr>
              <w:spacing w:before="120" w:after="120"/>
            </w:pPr>
          </w:p>
        </w:tc>
      </w:tr>
      <w:tr w:rsidR="00881C20" w:rsidRPr="00881C20" w:rsidTr="007410C9">
        <w:tc>
          <w:tcPr>
            <w:tcW w:w="3207" w:type="dxa"/>
          </w:tcPr>
          <w:p w:rsidR="00881C20" w:rsidRPr="002144D5" w:rsidRDefault="00881C20" w:rsidP="002144D5">
            <w:pPr>
              <w:spacing w:before="120" w:after="120"/>
              <w:rPr>
                <w:b/>
              </w:rPr>
            </w:pPr>
            <w:r w:rsidRPr="002144D5">
              <w:rPr>
                <w:b/>
              </w:rPr>
              <w:t>Unique identifiers</w:t>
            </w:r>
          </w:p>
        </w:tc>
        <w:tc>
          <w:tcPr>
            <w:tcW w:w="4868" w:type="dxa"/>
          </w:tcPr>
          <w:p w:rsidR="00881C20" w:rsidRDefault="00881C20" w:rsidP="002144D5">
            <w:pPr>
              <w:spacing w:before="120" w:after="120"/>
            </w:pPr>
          </w:p>
        </w:tc>
        <w:tc>
          <w:tcPr>
            <w:tcW w:w="1547" w:type="dxa"/>
          </w:tcPr>
          <w:p w:rsidR="00881C20" w:rsidRPr="00881C20" w:rsidRDefault="00881C20" w:rsidP="002144D5">
            <w:pPr>
              <w:spacing w:before="120" w:after="120"/>
            </w:pPr>
          </w:p>
        </w:tc>
      </w:tr>
    </w:tbl>
    <w:p w:rsidR="00881C20" w:rsidRDefault="00881C20" w:rsidP="0066115C"/>
    <w:p w:rsidR="007410C9" w:rsidRDefault="007410C9">
      <w:pPr>
        <w:spacing w:after="0" w:line="240" w:lineRule="auto"/>
        <w:rPr>
          <w:rFonts w:eastAsiaTheme="majorEastAsia" w:cstheme="majorBidi"/>
          <w:b/>
          <w:bCs/>
          <w:sz w:val="28"/>
        </w:rPr>
      </w:pPr>
      <w:r>
        <w:br w:type="page"/>
      </w:r>
    </w:p>
    <w:p w:rsidR="0066115C" w:rsidRDefault="0066115C" w:rsidP="002144D5">
      <w:pPr>
        <w:pStyle w:val="Heading3"/>
      </w:pPr>
      <w:r>
        <w:lastRenderedPageBreak/>
        <w:t>Risk mitigation</w:t>
      </w:r>
    </w:p>
    <w:tbl>
      <w:tblPr>
        <w:tblStyle w:val="TableGrid"/>
        <w:tblW w:w="0" w:type="auto"/>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ook w:val="04A0" w:firstRow="1" w:lastRow="0" w:firstColumn="1" w:lastColumn="0" w:noHBand="0" w:noVBand="1"/>
      </w:tblPr>
      <w:tblGrid>
        <w:gridCol w:w="3207"/>
        <w:gridCol w:w="3207"/>
        <w:gridCol w:w="3208"/>
      </w:tblGrid>
      <w:tr w:rsidR="002144D5" w:rsidRPr="002144D5" w:rsidTr="007410C9">
        <w:tc>
          <w:tcPr>
            <w:tcW w:w="3207" w:type="dxa"/>
          </w:tcPr>
          <w:p w:rsidR="002144D5" w:rsidRPr="002144D5" w:rsidRDefault="002144D5" w:rsidP="002144D5">
            <w:pPr>
              <w:spacing w:before="120" w:after="120"/>
              <w:rPr>
                <w:b/>
              </w:rPr>
            </w:pPr>
            <w:r w:rsidRPr="002144D5">
              <w:rPr>
                <w:b/>
              </w:rPr>
              <w:t>Identified risk</w:t>
            </w:r>
          </w:p>
        </w:tc>
        <w:tc>
          <w:tcPr>
            <w:tcW w:w="3207" w:type="dxa"/>
          </w:tcPr>
          <w:p w:rsidR="002144D5" w:rsidRPr="002144D5" w:rsidRDefault="002144D5" w:rsidP="002144D5">
            <w:pPr>
              <w:spacing w:before="120" w:after="120"/>
              <w:rPr>
                <w:b/>
              </w:rPr>
            </w:pPr>
            <w:r w:rsidRPr="002144D5">
              <w:rPr>
                <w:b/>
              </w:rPr>
              <w:t>Recommended mitigation</w:t>
            </w:r>
          </w:p>
        </w:tc>
        <w:tc>
          <w:tcPr>
            <w:tcW w:w="3208" w:type="dxa"/>
          </w:tcPr>
          <w:p w:rsidR="002144D5" w:rsidRPr="002144D5" w:rsidRDefault="002144D5" w:rsidP="002144D5">
            <w:pPr>
              <w:spacing w:before="120" w:after="120"/>
              <w:rPr>
                <w:b/>
              </w:rPr>
            </w:pPr>
            <w:r w:rsidRPr="002144D5">
              <w:rPr>
                <w:b/>
              </w:rPr>
              <w:t>Completed by</w:t>
            </w:r>
          </w:p>
        </w:tc>
      </w:tr>
      <w:tr w:rsidR="002144D5" w:rsidRPr="002144D5" w:rsidTr="007410C9">
        <w:tc>
          <w:tcPr>
            <w:tcW w:w="3207" w:type="dxa"/>
          </w:tcPr>
          <w:p w:rsidR="002144D5" w:rsidRPr="002144D5" w:rsidRDefault="002144D5" w:rsidP="002144D5">
            <w:pPr>
              <w:spacing w:before="120" w:after="120"/>
            </w:pPr>
          </w:p>
        </w:tc>
        <w:tc>
          <w:tcPr>
            <w:tcW w:w="3207" w:type="dxa"/>
          </w:tcPr>
          <w:p w:rsidR="002144D5" w:rsidRPr="002144D5" w:rsidRDefault="002144D5" w:rsidP="002144D5">
            <w:pPr>
              <w:spacing w:before="120" w:after="120"/>
            </w:pPr>
          </w:p>
        </w:tc>
        <w:tc>
          <w:tcPr>
            <w:tcW w:w="3208" w:type="dxa"/>
          </w:tcPr>
          <w:p w:rsidR="002144D5" w:rsidRPr="002144D5" w:rsidRDefault="002144D5" w:rsidP="002144D5">
            <w:pPr>
              <w:spacing w:before="120" w:after="120"/>
            </w:pPr>
          </w:p>
        </w:tc>
      </w:tr>
      <w:tr w:rsidR="002144D5" w:rsidRPr="002144D5" w:rsidTr="007410C9">
        <w:tc>
          <w:tcPr>
            <w:tcW w:w="3207" w:type="dxa"/>
          </w:tcPr>
          <w:p w:rsidR="002144D5" w:rsidRPr="002144D5" w:rsidRDefault="002144D5" w:rsidP="002144D5">
            <w:pPr>
              <w:spacing w:before="120" w:after="120"/>
            </w:pPr>
          </w:p>
        </w:tc>
        <w:tc>
          <w:tcPr>
            <w:tcW w:w="3207" w:type="dxa"/>
          </w:tcPr>
          <w:p w:rsidR="002144D5" w:rsidRPr="002144D5" w:rsidRDefault="002144D5" w:rsidP="002144D5">
            <w:pPr>
              <w:spacing w:before="120" w:after="120"/>
            </w:pPr>
          </w:p>
        </w:tc>
        <w:tc>
          <w:tcPr>
            <w:tcW w:w="3208" w:type="dxa"/>
          </w:tcPr>
          <w:p w:rsidR="002144D5" w:rsidRPr="002144D5" w:rsidRDefault="002144D5" w:rsidP="002144D5">
            <w:pPr>
              <w:spacing w:before="120" w:after="120"/>
            </w:pPr>
          </w:p>
        </w:tc>
      </w:tr>
      <w:tr w:rsidR="002144D5" w:rsidRPr="002144D5" w:rsidTr="007410C9">
        <w:tc>
          <w:tcPr>
            <w:tcW w:w="3207" w:type="dxa"/>
          </w:tcPr>
          <w:p w:rsidR="002144D5" w:rsidRPr="002144D5" w:rsidRDefault="002144D5" w:rsidP="002144D5">
            <w:pPr>
              <w:spacing w:before="120" w:after="120"/>
            </w:pPr>
          </w:p>
        </w:tc>
        <w:tc>
          <w:tcPr>
            <w:tcW w:w="3207" w:type="dxa"/>
          </w:tcPr>
          <w:p w:rsidR="002144D5" w:rsidRPr="002144D5" w:rsidRDefault="002144D5" w:rsidP="002144D5">
            <w:pPr>
              <w:spacing w:before="120" w:after="120"/>
            </w:pPr>
          </w:p>
        </w:tc>
        <w:tc>
          <w:tcPr>
            <w:tcW w:w="3208" w:type="dxa"/>
          </w:tcPr>
          <w:p w:rsidR="002144D5" w:rsidRPr="002144D5" w:rsidRDefault="002144D5" w:rsidP="002144D5">
            <w:pPr>
              <w:spacing w:before="120" w:after="120"/>
            </w:pPr>
          </w:p>
        </w:tc>
      </w:tr>
      <w:tr w:rsidR="002144D5" w:rsidRPr="002144D5" w:rsidTr="007410C9">
        <w:tc>
          <w:tcPr>
            <w:tcW w:w="3207" w:type="dxa"/>
          </w:tcPr>
          <w:p w:rsidR="002144D5" w:rsidRPr="002144D5" w:rsidRDefault="002144D5" w:rsidP="002144D5">
            <w:pPr>
              <w:spacing w:before="120" w:after="120"/>
            </w:pPr>
          </w:p>
        </w:tc>
        <w:tc>
          <w:tcPr>
            <w:tcW w:w="3207" w:type="dxa"/>
          </w:tcPr>
          <w:p w:rsidR="002144D5" w:rsidRPr="002144D5" w:rsidRDefault="002144D5" w:rsidP="002144D5">
            <w:pPr>
              <w:spacing w:before="120" w:after="120"/>
            </w:pPr>
          </w:p>
        </w:tc>
        <w:tc>
          <w:tcPr>
            <w:tcW w:w="3208" w:type="dxa"/>
          </w:tcPr>
          <w:p w:rsidR="002144D5" w:rsidRPr="002144D5" w:rsidRDefault="002144D5" w:rsidP="002144D5">
            <w:pPr>
              <w:spacing w:before="120" w:after="120"/>
            </w:pPr>
          </w:p>
        </w:tc>
      </w:tr>
      <w:tr w:rsidR="002144D5" w:rsidRPr="002144D5" w:rsidTr="007410C9">
        <w:tc>
          <w:tcPr>
            <w:tcW w:w="3207" w:type="dxa"/>
          </w:tcPr>
          <w:p w:rsidR="002144D5" w:rsidRPr="002144D5" w:rsidRDefault="002144D5" w:rsidP="002144D5">
            <w:pPr>
              <w:spacing w:before="120" w:after="120"/>
            </w:pPr>
          </w:p>
        </w:tc>
        <w:tc>
          <w:tcPr>
            <w:tcW w:w="3207" w:type="dxa"/>
          </w:tcPr>
          <w:p w:rsidR="002144D5" w:rsidRPr="002144D5" w:rsidRDefault="002144D5" w:rsidP="002144D5">
            <w:pPr>
              <w:spacing w:before="120" w:after="120"/>
            </w:pPr>
          </w:p>
        </w:tc>
        <w:tc>
          <w:tcPr>
            <w:tcW w:w="3208" w:type="dxa"/>
          </w:tcPr>
          <w:p w:rsidR="002144D5" w:rsidRPr="002144D5" w:rsidRDefault="002144D5" w:rsidP="002144D5">
            <w:pPr>
              <w:spacing w:before="120" w:after="120"/>
            </w:pPr>
          </w:p>
        </w:tc>
      </w:tr>
    </w:tbl>
    <w:p w:rsidR="0066115C" w:rsidRDefault="0066115C">
      <w:pPr>
        <w:spacing w:after="0" w:line="240" w:lineRule="auto"/>
      </w:pPr>
    </w:p>
    <w:sectPr w:rsidR="0066115C" w:rsidSect="007410C9">
      <w:footerReference w:type="default" r:id="rId9"/>
      <w:footnotePr>
        <w:numRestart w:val="eachSect"/>
      </w:footnotePr>
      <w:pgSz w:w="11900" w:h="16840" w:code="9"/>
      <w:pgMar w:top="1418" w:right="1134" w:bottom="1134" w:left="1134"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38" w:rsidRDefault="00485438" w:rsidP="001D67C0">
      <w:r>
        <w:separator/>
      </w:r>
    </w:p>
    <w:p w:rsidR="00485438" w:rsidRDefault="00485438"/>
  </w:endnote>
  <w:endnote w:type="continuationSeparator" w:id="0">
    <w:p w:rsidR="00485438" w:rsidRDefault="00485438" w:rsidP="001D67C0">
      <w:r>
        <w:continuationSeparator/>
      </w:r>
    </w:p>
    <w:p w:rsidR="00485438" w:rsidRDefault="00485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rPr>
      <w:id w:val="1658423803"/>
      <w:docPartObj>
        <w:docPartGallery w:val="Page Numbers (Bottom of Page)"/>
        <w:docPartUnique/>
      </w:docPartObj>
    </w:sdtPr>
    <w:sdtEndPr>
      <w:rPr>
        <w:noProof/>
        <w:sz w:val="20"/>
      </w:rPr>
    </w:sdtEndPr>
    <w:sdtContent>
      <w:p w:rsidR="007410C9" w:rsidRDefault="007410C9" w:rsidP="007410C9">
        <w:pPr>
          <w:pStyle w:val="Footer"/>
          <w:tabs>
            <w:tab w:val="left" w:pos="0"/>
            <w:tab w:val="right" w:pos="9498"/>
          </w:tabs>
          <w:spacing w:before="120"/>
          <w:rPr>
            <w:b w:val="0"/>
            <w:noProof/>
            <w:sz w:val="20"/>
          </w:rPr>
        </w:pPr>
        <w:r w:rsidRPr="007410C9">
          <w:rPr>
            <w:b w:val="0"/>
          </w:rPr>
          <w:t>Initial Privacy Impact Assessment Report</w:t>
        </w:r>
        <w:r w:rsidRPr="00C13F25">
          <w:rPr>
            <w:b w:val="0"/>
          </w:rPr>
          <w:t xml:space="preserve"> template</w:t>
        </w:r>
        <w:r w:rsidRPr="00C13F25">
          <w:rPr>
            <w:b w:val="0"/>
            <w:i/>
          </w:rPr>
          <w:tab/>
        </w:r>
        <w:r w:rsidRPr="00C13F25">
          <w:rPr>
            <w:b w:val="0"/>
          </w:rPr>
          <w:t xml:space="preserve"> </w:t>
        </w:r>
        <w:r w:rsidRPr="00C13F25">
          <w:rPr>
            <w:b w:val="0"/>
            <w:sz w:val="20"/>
          </w:rPr>
          <w:fldChar w:fldCharType="begin"/>
        </w:r>
        <w:r w:rsidRPr="00C13F25">
          <w:rPr>
            <w:b w:val="0"/>
            <w:sz w:val="20"/>
          </w:rPr>
          <w:instrText xml:space="preserve"> PAGE   \* MERGEFORMAT </w:instrText>
        </w:r>
        <w:r w:rsidRPr="00C13F25">
          <w:rPr>
            <w:b w:val="0"/>
            <w:sz w:val="20"/>
          </w:rPr>
          <w:fldChar w:fldCharType="separate"/>
        </w:r>
        <w:r w:rsidR="0014447B">
          <w:rPr>
            <w:b w:val="0"/>
            <w:noProof/>
            <w:sz w:val="20"/>
          </w:rPr>
          <w:t>1</w:t>
        </w:r>
        <w:r w:rsidRPr="00C13F25">
          <w:rPr>
            <w:b w:val="0"/>
            <w:noProof/>
            <w:sz w:val="20"/>
          </w:rPr>
          <w:fldChar w:fldCharType="end"/>
        </w:r>
      </w:p>
      <w:p w:rsidR="007410C9" w:rsidRPr="007410C9" w:rsidRDefault="007410C9" w:rsidP="007410C9">
        <w:pPr>
          <w:pStyle w:val="Footer"/>
          <w:tabs>
            <w:tab w:val="left" w:pos="0"/>
            <w:tab w:val="right" w:pos="9498"/>
          </w:tabs>
          <w:rPr>
            <w:b w:val="0"/>
            <w:sz w:val="20"/>
          </w:rPr>
        </w:pPr>
        <w:r w:rsidRPr="00C13F25">
          <w:rPr>
            <w:b w:val="0"/>
            <w:i/>
          </w:rPr>
          <w:t xml:space="preserve">Analysing Student Data: </w:t>
        </w:r>
        <w:proofErr w:type="spellStart"/>
        <w:r w:rsidRPr="00C13F25">
          <w:rPr>
            <w:b w:val="0"/>
            <w:i/>
          </w:rPr>
          <w:t>Ōritetanga</w:t>
        </w:r>
        <w:proofErr w:type="spellEnd"/>
        <w:r w:rsidRPr="00C13F25">
          <w:rPr>
            <w:b w:val="0"/>
            <w:i/>
          </w:rPr>
          <w:t xml:space="preserve"> learner analytics ethics framework</w:t>
        </w:r>
        <w:r>
          <w:rPr>
            <w:b w:val="0"/>
          </w:rPr>
          <w:t>, Tertiary Education Commission 2021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38" w:rsidRDefault="00485438" w:rsidP="001B733C">
      <w:r>
        <w:separator/>
      </w:r>
    </w:p>
  </w:footnote>
  <w:footnote w:type="continuationSeparator" w:id="0">
    <w:p w:rsidR="00485438" w:rsidRDefault="00485438" w:rsidP="001D67C0">
      <w:r>
        <w:continuationSeparator/>
      </w:r>
    </w:p>
    <w:p w:rsidR="00485438" w:rsidRDefault="004854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411"/>
    <w:multiLevelType w:val="hybridMultilevel"/>
    <w:tmpl w:val="113A5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 w15:restartNumberingAfterBreak="0">
    <w:nsid w:val="319A2CBB"/>
    <w:multiLevelType w:val="hybridMultilevel"/>
    <w:tmpl w:val="88D2855A"/>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4EE1638E"/>
    <w:multiLevelType w:val="multilevel"/>
    <w:tmpl w:val="CED8BCCC"/>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5"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F0A49BA"/>
    <w:multiLevelType w:val="hybridMultilevel"/>
    <w:tmpl w:val="403CCA02"/>
    <w:lvl w:ilvl="0" w:tplc="7DC69868">
      <w:start w:val="1"/>
      <w:numFmt w:val="decimal"/>
      <w:pStyle w:val="List1"/>
      <w:lvlText w:val="%1."/>
      <w:lvlJc w:val="left"/>
      <w:pPr>
        <w:ind w:left="360" w:hanging="360"/>
      </w:pPr>
      <w:rPr>
        <w:rFonts w:ascii="Calibri" w:hAnsi="Calibri"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5"/>
  </w:num>
  <w:num w:numId="6">
    <w:abstractNumId w:val="6"/>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0"/>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942E08"/>
    <w:rsid w:val="00001C6C"/>
    <w:rsid w:val="0000632E"/>
    <w:rsid w:val="00013F48"/>
    <w:rsid w:val="00015DFF"/>
    <w:rsid w:val="000163D0"/>
    <w:rsid w:val="0002443C"/>
    <w:rsid w:val="00032D0B"/>
    <w:rsid w:val="0003432C"/>
    <w:rsid w:val="00035552"/>
    <w:rsid w:val="00041596"/>
    <w:rsid w:val="000521FB"/>
    <w:rsid w:val="000560D6"/>
    <w:rsid w:val="00065DA4"/>
    <w:rsid w:val="00083F04"/>
    <w:rsid w:val="00085139"/>
    <w:rsid w:val="00090E11"/>
    <w:rsid w:val="000A3733"/>
    <w:rsid w:val="000A4D79"/>
    <w:rsid w:val="000A617B"/>
    <w:rsid w:val="000B15D3"/>
    <w:rsid w:val="000B3A1D"/>
    <w:rsid w:val="000B64C8"/>
    <w:rsid w:val="000D31FD"/>
    <w:rsid w:val="000E13C6"/>
    <w:rsid w:val="000F1287"/>
    <w:rsid w:val="000F376F"/>
    <w:rsid w:val="0010345F"/>
    <w:rsid w:val="0013293C"/>
    <w:rsid w:val="00136EA4"/>
    <w:rsid w:val="0013710D"/>
    <w:rsid w:val="00143201"/>
    <w:rsid w:val="0014447B"/>
    <w:rsid w:val="0014498E"/>
    <w:rsid w:val="00145ABE"/>
    <w:rsid w:val="001476E4"/>
    <w:rsid w:val="001568F2"/>
    <w:rsid w:val="001622AC"/>
    <w:rsid w:val="001814E9"/>
    <w:rsid w:val="00181ED1"/>
    <w:rsid w:val="00187845"/>
    <w:rsid w:val="00192DA7"/>
    <w:rsid w:val="00193465"/>
    <w:rsid w:val="001A129E"/>
    <w:rsid w:val="001A130D"/>
    <w:rsid w:val="001A6211"/>
    <w:rsid w:val="001B54CE"/>
    <w:rsid w:val="001B65C8"/>
    <w:rsid w:val="001B733C"/>
    <w:rsid w:val="001B7373"/>
    <w:rsid w:val="001C07DA"/>
    <w:rsid w:val="001D1D1B"/>
    <w:rsid w:val="001D40C5"/>
    <w:rsid w:val="001D5233"/>
    <w:rsid w:val="001D67C0"/>
    <w:rsid w:val="001E0EF8"/>
    <w:rsid w:val="001F1C17"/>
    <w:rsid w:val="001F270F"/>
    <w:rsid w:val="00200359"/>
    <w:rsid w:val="00200987"/>
    <w:rsid w:val="002066BA"/>
    <w:rsid w:val="002077C5"/>
    <w:rsid w:val="002144D5"/>
    <w:rsid w:val="002149EB"/>
    <w:rsid w:val="00215B01"/>
    <w:rsid w:val="00216401"/>
    <w:rsid w:val="0022293A"/>
    <w:rsid w:val="00222F10"/>
    <w:rsid w:val="0023233B"/>
    <w:rsid w:val="002411C7"/>
    <w:rsid w:val="002444C9"/>
    <w:rsid w:val="00254F91"/>
    <w:rsid w:val="0025530D"/>
    <w:rsid w:val="00256368"/>
    <w:rsid w:val="00265A44"/>
    <w:rsid w:val="002804F2"/>
    <w:rsid w:val="00285D79"/>
    <w:rsid w:val="002918F6"/>
    <w:rsid w:val="00294811"/>
    <w:rsid w:val="002A145E"/>
    <w:rsid w:val="002A3AA9"/>
    <w:rsid w:val="002D0C53"/>
    <w:rsid w:val="002E6DDF"/>
    <w:rsid w:val="002E7824"/>
    <w:rsid w:val="002F7C6A"/>
    <w:rsid w:val="00300277"/>
    <w:rsid w:val="0030053C"/>
    <w:rsid w:val="0030667D"/>
    <w:rsid w:val="00317EFF"/>
    <w:rsid w:val="00322DBC"/>
    <w:rsid w:val="00325A86"/>
    <w:rsid w:val="003275FD"/>
    <w:rsid w:val="00330D63"/>
    <w:rsid w:val="00334F6D"/>
    <w:rsid w:val="00341331"/>
    <w:rsid w:val="003629ED"/>
    <w:rsid w:val="00363FC6"/>
    <w:rsid w:val="003643B4"/>
    <w:rsid w:val="003717AF"/>
    <w:rsid w:val="00372453"/>
    <w:rsid w:val="0037536D"/>
    <w:rsid w:val="003A28AC"/>
    <w:rsid w:val="003A4384"/>
    <w:rsid w:val="003A465D"/>
    <w:rsid w:val="003B074D"/>
    <w:rsid w:val="003B12D6"/>
    <w:rsid w:val="003B266E"/>
    <w:rsid w:val="003C11BB"/>
    <w:rsid w:val="003C4BAA"/>
    <w:rsid w:val="003C7D8B"/>
    <w:rsid w:val="003D11C2"/>
    <w:rsid w:val="003E064E"/>
    <w:rsid w:val="003F0721"/>
    <w:rsid w:val="003F0776"/>
    <w:rsid w:val="003F150E"/>
    <w:rsid w:val="003F662B"/>
    <w:rsid w:val="00400DEC"/>
    <w:rsid w:val="00414963"/>
    <w:rsid w:val="00414FEF"/>
    <w:rsid w:val="00421BF4"/>
    <w:rsid w:val="004226CB"/>
    <w:rsid w:val="00422DC8"/>
    <w:rsid w:val="00427215"/>
    <w:rsid w:val="004639A0"/>
    <w:rsid w:val="00465BFE"/>
    <w:rsid w:val="004707E2"/>
    <w:rsid w:val="00480E35"/>
    <w:rsid w:val="00485438"/>
    <w:rsid w:val="00485E96"/>
    <w:rsid w:val="0048671A"/>
    <w:rsid w:val="00490725"/>
    <w:rsid w:val="00494724"/>
    <w:rsid w:val="004A08FA"/>
    <w:rsid w:val="004B035A"/>
    <w:rsid w:val="004B0734"/>
    <w:rsid w:val="004B16D3"/>
    <w:rsid w:val="004C1145"/>
    <w:rsid w:val="004C2CF7"/>
    <w:rsid w:val="004C339A"/>
    <w:rsid w:val="004C7DD4"/>
    <w:rsid w:val="004D6D17"/>
    <w:rsid w:val="004E22CF"/>
    <w:rsid w:val="00500C95"/>
    <w:rsid w:val="005013D1"/>
    <w:rsid w:val="0050222D"/>
    <w:rsid w:val="00511D65"/>
    <w:rsid w:val="00512068"/>
    <w:rsid w:val="0051401C"/>
    <w:rsid w:val="00514C22"/>
    <w:rsid w:val="00521C68"/>
    <w:rsid w:val="0053609E"/>
    <w:rsid w:val="00543FBD"/>
    <w:rsid w:val="00547EB8"/>
    <w:rsid w:val="005513E8"/>
    <w:rsid w:val="00556CFE"/>
    <w:rsid w:val="0056729F"/>
    <w:rsid w:val="00577BFB"/>
    <w:rsid w:val="00582BC8"/>
    <w:rsid w:val="0058392F"/>
    <w:rsid w:val="00585C74"/>
    <w:rsid w:val="00591E02"/>
    <w:rsid w:val="00593806"/>
    <w:rsid w:val="00594D27"/>
    <w:rsid w:val="00596128"/>
    <w:rsid w:val="005A087A"/>
    <w:rsid w:val="005A4CEC"/>
    <w:rsid w:val="005C3BFD"/>
    <w:rsid w:val="005C4ACA"/>
    <w:rsid w:val="005D4A0F"/>
    <w:rsid w:val="005D688D"/>
    <w:rsid w:val="005D68B0"/>
    <w:rsid w:val="005E3694"/>
    <w:rsid w:val="005E4B5B"/>
    <w:rsid w:val="005F0CB0"/>
    <w:rsid w:val="005F600E"/>
    <w:rsid w:val="0060031B"/>
    <w:rsid w:val="00601B64"/>
    <w:rsid w:val="00603325"/>
    <w:rsid w:val="006034B4"/>
    <w:rsid w:val="00603FA4"/>
    <w:rsid w:val="006051D8"/>
    <w:rsid w:val="0060623C"/>
    <w:rsid w:val="006407BC"/>
    <w:rsid w:val="00644993"/>
    <w:rsid w:val="00647A0A"/>
    <w:rsid w:val="0065294C"/>
    <w:rsid w:val="00660C00"/>
    <w:rsid w:val="0066115C"/>
    <w:rsid w:val="0066308E"/>
    <w:rsid w:val="0067130A"/>
    <w:rsid w:val="00674689"/>
    <w:rsid w:val="0068511B"/>
    <w:rsid w:val="006A1EDC"/>
    <w:rsid w:val="006A3A98"/>
    <w:rsid w:val="006A3B9F"/>
    <w:rsid w:val="006B2B5A"/>
    <w:rsid w:val="006B516D"/>
    <w:rsid w:val="006B6AEF"/>
    <w:rsid w:val="006C1CDB"/>
    <w:rsid w:val="006D1FDE"/>
    <w:rsid w:val="006E4BF6"/>
    <w:rsid w:val="006E7BE8"/>
    <w:rsid w:val="006F6749"/>
    <w:rsid w:val="007037E7"/>
    <w:rsid w:val="00703AA0"/>
    <w:rsid w:val="007171E3"/>
    <w:rsid w:val="00717DC8"/>
    <w:rsid w:val="00727F35"/>
    <w:rsid w:val="00733D57"/>
    <w:rsid w:val="00737CC9"/>
    <w:rsid w:val="007410C9"/>
    <w:rsid w:val="00742FFF"/>
    <w:rsid w:val="00743D65"/>
    <w:rsid w:val="00745B1F"/>
    <w:rsid w:val="0074759B"/>
    <w:rsid w:val="0075695B"/>
    <w:rsid w:val="00757C3A"/>
    <w:rsid w:val="007658AA"/>
    <w:rsid w:val="0077465A"/>
    <w:rsid w:val="00780E77"/>
    <w:rsid w:val="0078391B"/>
    <w:rsid w:val="00786CC6"/>
    <w:rsid w:val="00791B19"/>
    <w:rsid w:val="007A3040"/>
    <w:rsid w:val="007B0B93"/>
    <w:rsid w:val="007C1026"/>
    <w:rsid w:val="007C1763"/>
    <w:rsid w:val="007C469C"/>
    <w:rsid w:val="007D25CE"/>
    <w:rsid w:val="007E1CC1"/>
    <w:rsid w:val="007E2495"/>
    <w:rsid w:val="007E2C87"/>
    <w:rsid w:val="007F002B"/>
    <w:rsid w:val="00800FC9"/>
    <w:rsid w:val="00813F7D"/>
    <w:rsid w:val="00825A0B"/>
    <w:rsid w:val="00826BFD"/>
    <w:rsid w:val="0083753B"/>
    <w:rsid w:val="00844B05"/>
    <w:rsid w:val="00844D41"/>
    <w:rsid w:val="00854BAF"/>
    <w:rsid w:val="00855330"/>
    <w:rsid w:val="00862D91"/>
    <w:rsid w:val="00876E57"/>
    <w:rsid w:val="00881C20"/>
    <w:rsid w:val="00890102"/>
    <w:rsid w:val="008923D6"/>
    <w:rsid w:val="0089478E"/>
    <w:rsid w:val="00895F00"/>
    <w:rsid w:val="00897AF0"/>
    <w:rsid w:val="008A6401"/>
    <w:rsid w:val="008B698D"/>
    <w:rsid w:val="008B6C22"/>
    <w:rsid w:val="008D11AB"/>
    <w:rsid w:val="008D7ADF"/>
    <w:rsid w:val="008F222D"/>
    <w:rsid w:val="009163AE"/>
    <w:rsid w:val="009204C9"/>
    <w:rsid w:val="009225FD"/>
    <w:rsid w:val="00933044"/>
    <w:rsid w:val="00934654"/>
    <w:rsid w:val="00934F4D"/>
    <w:rsid w:val="00942E08"/>
    <w:rsid w:val="00944896"/>
    <w:rsid w:val="00966B83"/>
    <w:rsid w:val="00977A12"/>
    <w:rsid w:val="0098096C"/>
    <w:rsid w:val="009874B2"/>
    <w:rsid w:val="00993C0C"/>
    <w:rsid w:val="00996CB2"/>
    <w:rsid w:val="009B3202"/>
    <w:rsid w:val="009C5A46"/>
    <w:rsid w:val="009D295A"/>
    <w:rsid w:val="009D5EF0"/>
    <w:rsid w:val="009F1F25"/>
    <w:rsid w:val="009F58DF"/>
    <w:rsid w:val="009F6055"/>
    <w:rsid w:val="00A016FE"/>
    <w:rsid w:val="00A04CBB"/>
    <w:rsid w:val="00A05B34"/>
    <w:rsid w:val="00A100F4"/>
    <w:rsid w:val="00A43814"/>
    <w:rsid w:val="00A5083C"/>
    <w:rsid w:val="00A50F74"/>
    <w:rsid w:val="00A54823"/>
    <w:rsid w:val="00A548C3"/>
    <w:rsid w:val="00A573BC"/>
    <w:rsid w:val="00A725E0"/>
    <w:rsid w:val="00A857D3"/>
    <w:rsid w:val="00A87479"/>
    <w:rsid w:val="00A90BE4"/>
    <w:rsid w:val="00A9112A"/>
    <w:rsid w:val="00AA557E"/>
    <w:rsid w:val="00AA739D"/>
    <w:rsid w:val="00AB7C9D"/>
    <w:rsid w:val="00AC391E"/>
    <w:rsid w:val="00AC4F59"/>
    <w:rsid w:val="00AC5A45"/>
    <w:rsid w:val="00AC696F"/>
    <w:rsid w:val="00AC6CE5"/>
    <w:rsid w:val="00AE3B3F"/>
    <w:rsid w:val="00AF3739"/>
    <w:rsid w:val="00B072E5"/>
    <w:rsid w:val="00B13F48"/>
    <w:rsid w:val="00B151CE"/>
    <w:rsid w:val="00B21C65"/>
    <w:rsid w:val="00B4016D"/>
    <w:rsid w:val="00B65CC3"/>
    <w:rsid w:val="00B67519"/>
    <w:rsid w:val="00B70D6D"/>
    <w:rsid w:val="00B7103F"/>
    <w:rsid w:val="00BA1B7C"/>
    <w:rsid w:val="00BC0054"/>
    <w:rsid w:val="00BD12AB"/>
    <w:rsid w:val="00BD415C"/>
    <w:rsid w:val="00BD4A77"/>
    <w:rsid w:val="00BD5DAD"/>
    <w:rsid w:val="00BE2144"/>
    <w:rsid w:val="00BE2B78"/>
    <w:rsid w:val="00BE41E8"/>
    <w:rsid w:val="00BE7826"/>
    <w:rsid w:val="00BE7E0B"/>
    <w:rsid w:val="00BF0BDC"/>
    <w:rsid w:val="00C02010"/>
    <w:rsid w:val="00C12C62"/>
    <w:rsid w:val="00C21364"/>
    <w:rsid w:val="00C30AC3"/>
    <w:rsid w:val="00C32E9F"/>
    <w:rsid w:val="00C33A1E"/>
    <w:rsid w:val="00C357E6"/>
    <w:rsid w:val="00C37AED"/>
    <w:rsid w:val="00C43002"/>
    <w:rsid w:val="00C44B59"/>
    <w:rsid w:val="00C47E18"/>
    <w:rsid w:val="00C50DF2"/>
    <w:rsid w:val="00C514B8"/>
    <w:rsid w:val="00C733CC"/>
    <w:rsid w:val="00C76F35"/>
    <w:rsid w:val="00C76F4D"/>
    <w:rsid w:val="00C81884"/>
    <w:rsid w:val="00C85A5F"/>
    <w:rsid w:val="00C86F03"/>
    <w:rsid w:val="00CA7C1F"/>
    <w:rsid w:val="00CC3131"/>
    <w:rsid w:val="00CF141E"/>
    <w:rsid w:val="00CF17CB"/>
    <w:rsid w:val="00CF342A"/>
    <w:rsid w:val="00CF7914"/>
    <w:rsid w:val="00D119AE"/>
    <w:rsid w:val="00D21669"/>
    <w:rsid w:val="00D2434F"/>
    <w:rsid w:val="00D2773C"/>
    <w:rsid w:val="00D50822"/>
    <w:rsid w:val="00D65CB5"/>
    <w:rsid w:val="00D67633"/>
    <w:rsid w:val="00D818FD"/>
    <w:rsid w:val="00D92939"/>
    <w:rsid w:val="00D93899"/>
    <w:rsid w:val="00D96D34"/>
    <w:rsid w:val="00DA0337"/>
    <w:rsid w:val="00DA4963"/>
    <w:rsid w:val="00DB1A57"/>
    <w:rsid w:val="00DC059A"/>
    <w:rsid w:val="00DC1B2E"/>
    <w:rsid w:val="00DD5DF4"/>
    <w:rsid w:val="00DE2F8A"/>
    <w:rsid w:val="00DE7886"/>
    <w:rsid w:val="00E04A67"/>
    <w:rsid w:val="00E11ED7"/>
    <w:rsid w:val="00E22A64"/>
    <w:rsid w:val="00E261DB"/>
    <w:rsid w:val="00E27F5B"/>
    <w:rsid w:val="00E335CA"/>
    <w:rsid w:val="00E33748"/>
    <w:rsid w:val="00E40E65"/>
    <w:rsid w:val="00E43387"/>
    <w:rsid w:val="00E600BB"/>
    <w:rsid w:val="00E618F7"/>
    <w:rsid w:val="00E62683"/>
    <w:rsid w:val="00E62CDF"/>
    <w:rsid w:val="00E64D08"/>
    <w:rsid w:val="00E67C2E"/>
    <w:rsid w:val="00E82747"/>
    <w:rsid w:val="00E82C95"/>
    <w:rsid w:val="00E86D1F"/>
    <w:rsid w:val="00E9299E"/>
    <w:rsid w:val="00E953DF"/>
    <w:rsid w:val="00EA0C2E"/>
    <w:rsid w:val="00EA37CF"/>
    <w:rsid w:val="00EC11E0"/>
    <w:rsid w:val="00ED394E"/>
    <w:rsid w:val="00ED54D8"/>
    <w:rsid w:val="00ED6A7F"/>
    <w:rsid w:val="00EE0011"/>
    <w:rsid w:val="00F1436F"/>
    <w:rsid w:val="00F207FE"/>
    <w:rsid w:val="00F36371"/>
    <w:rsid w:val="00F517CF"/>
    <w:rsid w:val="00F758C2"/>
    <w:rsid w:val="00F918E8"/>
    <w:rsid w:val="00F97D0D"/>
    <w:rsid w:val="00FA3779"/>
    <w:rsid w:val="00FA4E3F"/>
    <w:rsid w:val="00FA513C"/>
    <w:rsid w:val="00FA563B"/>
    <w:rsid w:val="00FA6087"/>
    <w:rsid w:val="00FB49D2"/>
    <w:rsid w:val="00FB4A11"/>
    <w:rsid w:val="00FC5625"/>
    <w:rsid w:val="00FC6736"/>
    <w:rsid w:val="00FD2C48"/>
    <w:rsid w:val="00FD2D4B"/>
    <w:rsid w:val="00FF43E2"/>
    <w:rsid w:val="00FF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5808845-2313-4549-9B4C-F1BB043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0C9"/>
    <w:pPr>
      <w:spacing w:after="180" w:line="276" w:lineRule="auto"/>
    </w:pPr>
    <w:rPr>
      <w:rFonts w:ascii="Calibri" w:hAnsi="Calibri"/>
      <w:color w:val="343032" w:themeColor="text1"/>
      <w:sz w:val="24"/>
    </w:rPr>
  </w:style>
  <w:style w:type="paragraph" w:styleId="Heading1">
    <w:name w:val="heading 1"/>
    <w:basedOn w:val="Normal"/>
    <w:next w:val="Normal"/>
    <w:link w:val="Heading1Char"/>
    <w:qFormat/>
    <w:rsid w:val="007410C9"/>
    <w:pPr>
      <w:keepNext/>
      <w:spacing w:before="240" w:after="240"/>
      <w:outlineLvl w:val="0"/>
    </w:pPr>
    <w:rPr>
      <w:rFonts w:ascii="Georgia" w:eastAsiaTheme="majorEastAsia" w:hAnsi="Georgia" w:cstheme="majorBidi"/>
      <w:b/>
      <w:bCs/>
      <w:color w:val="FF9900"/>
      <w:sz w:val="44"/>
      <w:szCs w:val="32"/>
    </w:rPr>
  </w:style>
  <w:style w:type="paragraph" w:styleId="Heading2">
    <w:name w:val="heading 2"/>
    <w:basedOn w:val="Normal"/>
    <w:next w:val="Normal"/>
    <w:link w:val="Heading2Char"/>
    <w:qFormat/>
    <w:rsid w:val="007410C9"/>
    <w:pPr>
      <w:keepNext/>
      <w:spacing w:before="600" w:after="120"/>
      <w:outlineLvl w:val="1"/>
    </w:pPr>
    <w:rPr>
      <w:rFonts w:eastAsiaTheme="majorEastAsia" w:cstheme="majorBidi"/>
      <w:b/>
      <w:bCs/>
      <w:color w:val="auto"/>
      <w:sz w:val="36"/>
      <w:szCs w:val="26"/>
    </w:rPr>
  </w:style>
  <w:style w:type="paragraph" w:styleId="Heading3">
    <w:name w:val="heading 3"/>
    <w:basedOn w:val="Normal"/>
    <w:next w:val="Normal"/>
    <w:link w:val="Heading3Char"/>
    <w:qFormat/>
    <w:rsid w:val="00200987"/>
    <w:pPr>
      <w:keepNext/>
      <w:keepLines/>
      <w:spacing w:before="360" w:after="120"/>
      <w:outlineLvl w:val="2"/>
    </w:pPr>
    <w:rPr>
      <w:rFonts w:eastAsiaTheme="majorEastAsia" w:cstheme="majorBidi"/>
      <w:b/>
      <w:bCs/>
      <w:sz w:val="28"/>
    </w:rPr>
  </w:style>
  <w:style w:type="paragraph" w:styleId="Heading4">
    <w:name w:val="heading 4"/>
    <w:basedOn w:val="Normal"/>
    <w:next w:val="Normal"/>
    <w:link w:val="Heading4Char"/>
    <w:qFormat/>
    <w:rsid w:val="007410C9"/>
    <w:pPr>
      <w:keepNext/>
      <w:spacing w:before="240" w:after="120"/>
      <w:outlineLvl w:val="3"/>
    </w:pPr>
    <w:rPr>
      <w:rFonts w:eastAsiaTheme="majorEastAsia" w:cstheme="majorBidi"/>
      <w:b/>
      <w:bCs/>
      <w:i/>
      <w:iCs/>
      <w:color w:val="auto"/>
    </w:rPr>
  </w:style>
  <w:style w:type="paragraph" w:styleId="Heading5">
    <w:name w:val="heading 5"/>
    <w:basedOn w:val="Normal"/>
    <w:next w:val="Normal"/>
    <w:link w:val="Heading5Char"/>
    <w:qFormat/>
    <w:rsid w:val="00187845"/>
    <w:pPr>
      <w:keepNext/>
      <w:keepLines/>
      <w:pBdr>
        <w:bottom w:val="single" w:sz="4" w:space="1" w:color="DBD1A9"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C1F"/>
    <w:pPr>
      <w:spacing w:before="40" w:after="240" w:line="800" w:lineRule="exact"/>
    </w:pPr>
    <w:rPr>
      <w:rFonts w:ascii="Georgia" w:eastAsia="MS Gothic" w:hAnsi="Georgia"/>
      <w:color w:val="FFFFFF" w:themeColor="background1"/>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343032" w:themeColor="text1"/>
      <w:sz w:val="18"/>
    </w:rPr>
  </w:style>
  <w:style w:type="character" w:customStyle="1" w:styleId="TitleChar">
    <w:name w:val="Title Char"/>
    <w:link w:val="Title"/>
    <w:uiPriority w:val="10"/>
    <w:rsid w:val="00CA7C1F"/>
    <w:rPr>
      <w:rFonts w:ascii="Georgia" w:eastAsia="MS Gothic" w:hAnsi="Georgia"/>
      <w:color w:val="FFFFFF" w:themeColor="background1"/>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7410C9"/>
    <w:rPr>
      <w:rFonts w:ascii="Georgia" w:eastAsiaTheme="majorEastAsia" w:hAnsi="Georgia" w:cstheme="majorBidi"/>
      <w:b/>
      <w:bCs/>
      <w:color w:val="FF9900"/>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7410C9"/>
    <w:rPr>
      <w:rFonts w:ascii="Calibri" w:eastAsiaTheme="majorEastAsia" w:hAnsi="Calibri" w:cstheme="majorBidi"/>
      <w:b/>
      <w:bCs/>
      <w:sz w:val="36"/>
      <w:szCs w:val="26"/>
    </w:rPr>
  </w:style>
  <w:style w:type="character" w:customStyle="1" w:styleId="Heading3Char">
    <w:name w:val="Heading 3 Char"/>
    <w:basedOn w:val="DefaultParagraphFont"/>
    <w:link w:val="Heading3"/>
    <w:rsid w:val="00200987"/>
    <w:rPr>
      <w:rFonts w:ascii="Calibri" w:eastAsiaTheme="majorEastAsia" w:hAnsi="Calibri" w:cstheme="majorBidi"/>
      <w:b/>
      <w:bCs/>
      <w:color w:val="343032"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343032"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rsid w:val="007410C9"/>
    <w:rPr>
      <w:rFonts w:ascii="Calibri" w:eastAsiaTheme="majorEastAsia" w:hAnsi="Calibri" w:cstheme="majorBidi"/>
      <w:b/>
      <w:bCs/>
      <w:i/>
      <w:iCs/>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343032"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8923D6"/>
    <w:pPr>
      <w:spacing w:before="0" w:after="480" w:line="240" w:lineRule="auto"/>
    </w:pPr>
    <w:rPr>
      <w:color w:val="92922E"/>
      <w:sz w:val="60"/>
      <w:szCs w:val="96"/>
    </w:rPr>
  </w:style>
  <w:style w:type="paragraph" w:customStyle="1" w:styleId="SectionSubtitle">
    <w:name w:val="Section Subtitle"/>
    <w:qFormat/>
    <w:rsid w:val="008923D6"/>
    <w:pPr>
      <w:tabs>
        <w:tab w:val="left" w:pos="1266"/>
      </w:tabs>
      <w:spacing w:after="480"/>
    </w:pPr>
    <w:rPr>
      <w:rFonts w:ascii="Georgia" w:eastAsia="MS Gothic" w:hAnsi="Georgia"/>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qFormat/>
    <w:rsid w:val="009F58DF"/>
    <w:pPr>
      <w:numPr>
        <w:numId w:val="1"/>
      </w:numPr>
      <w:ind w:left="397" w:hanging="397"/>
    </w:pPr>
  </w:style>
  <w:style w:type="paragraph" w:customStyle="1" w:styleId="Tableheading">
    <w:name w:val="Table heading"/>
    <w:basedOn w:val="Figureheading"/>
    <w:next w:val="Normal"/>
    <w:qFormat/>
    <w:rsid w:val="00EC11E0"/>
    <w:pPr>
      <w:keepNext/>
      <w:spacing w:before="240" w:after="240"/>
    </w:p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D21669"/>
    <w:pPr>
      <w:numPr>
        <w:numId w:val="5"/>
      </w:numPr>
      <w:spacing w:after="60"/>
      <w:ind w:left="1191" w:hanging="397"/>
      <w:contextualSpacing w:val="0"/>
    </w:pPr>
  </w:style>
  <w:style w:type="paragraph" w:styleId="TOC2">
    <w:name w:val="toc 2"/>
    <w:basedOn w:val="Normal"/>
    <w:next w:val="Normal"/>
    <w:uiPriority w:val="39"/>
    <w:unhideWhenUsed/>
    <w:rsid w:val="00A100F4"/>
    <w:pPr>
      <w:tabs>
        <w:tab w:val="right" w:leader="dot" w:pos="9072"/>
      </w:tabs>
      <w:spacing w:before="180"/>
      <w:ind w:left="284" w:right="567"/>
    </w:pPr>
  </w:style>
  <w:style w:type="paragraph" w:styleId="TOC1">
    <w:name w:val="toc 1"/>
    <w:basedOn w:val="Normal"/>
    <w:next w:val="Normal"/>
    <w:uiPriority w:val="39"/>
    <w:unhideWhenUsed/>
    <w:rsid w:val="00A100F4"/>
    <w:pPr>
      <w:tabs>
        <w:tab w:val="right" w:leader="dot" w:pos="9072"/>
      </w:tabs>
      <w:spacing w:before="240" w:after="120"/>
      <w:ind w:right="567"/>
    </w:pPr>
    <w:rPr>
      <w:b/>
    </w:rPr>
  </w:style>
  <w:style w:type="character" w:styleId="Hyperlink">
    <w:name w:val="Hyperlink"/>
    <w:basedOn w:val="DefaultParagraphFont"/>
    <w:uiPriority w:val="99"/>
    <w:unhideWhenUsed/>
    <w:rsid w:val="003E064E"/>
    <w:rPr>
      <w:rFonts w:asciiTheme="minorHAnsi" w:hAnsiTheme="minorHAnsi"/>
      <w:noProof w:val="0"/>
      <w:color w:val="717525"/>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C21364"/>
    <w:pPr>
      <w:spacing w:after="60" w:line="240" w:lineRule="auto"/>
      <w:ind w:left="284" w:hanging="284"/>
    </w:pPr>
    <w:rPr>
      <w:sz w:val="18"/>
    </w:rPr>
  </w:style>
  <w:style w:type="character" w:customStyle="1" w:styleId="FootnoteTextChar">
    <w:name w:val="Footnote Text Char"/>
    <w:basedOn w:val="DefaultParagraphFont"/>
    <w:link w:val="FootnoteText"/>
    <w:uiPriority w:val="99"/>
    <w:rsid w:val="00C21364"/>
    <w:rPr>
      <w:rFonts w:ascii="Calibri" w:hAnsi="Calibri"/>
      <w:color w:val="343032"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customStyle="1" w:styleId="List1">
    <w:name w:val="List 1"/>
    <w:basedOn w:val="Bullets1"/>
    <w:qFormat/>
    <w:rsid w:val="009F58DF"/>
    <w:pPr>
      <w:numPr>
        <w:numId w:val="6"/>
      </w:numPr>
    </w:pPr>
  </w:style>
  <w:style w:type="paragraph" w:styleId="IntenseQuote">
    <w:name w:val="Intense Quote"/>
    <w:basedOn w:val="Normal"/>
    <w:next w:val="Normal"/>
    <w:link w:val="IntenseQuoteChar"/>
    <w:uiPriority w:val="30"/>
    <w:qFormat/>
    <w:rsid w:val="00200987"/>
    <w:pPr>
      <w:pBdr>
        <w:top w:val="single" w:sz="4" w:space="10" w:color="92922E"/>
        <w:bottom w:val="single" w:sz="4" w:space="10" w:color="92922E"/>
      </w:pBdr>
      <w:spacing w:before="360" w:after="360"/>
      <w:ind w:left="864" w:right="864"/>
      <w:jc w:val="center"/>
    </w:pPr>
    <w:rPr>
      <w:i/>
      <w:iCs/>
      <w:color w:val="92922E"/>
    </w:rPr>
  </w:style>
  <w:style w:type="character" w:customStyle="1" w:styleId="IntenseQuoteChar">
    <w:name w:val="Intense Quote Char"/>
    <w:basedOn w:val="DefaultParagraphFont"/>
    <w:link w:val="IntenseQuote"/>
    <w:uiPriority w:val="30"/>
    <w:rsid w:val="00200987"/>
    <w:rPr>
      <w:rFonts w:ascii="Calibri" w:hAnsi="Calibri"/>
      <w:i/>
      <w:iCs/>
      <w:color w:val="92922E"/>
      <w:sz w:val="22"/>
    </w:rPr>
  </w:style>
  <w:style w:type="paragraph" w:customStyle="1" w:styleId="Emphasistext">
    <w:name w:val="Emphasis text"/>
    <w:basedOn w:val="Normal"/>
    <w:link w:val="EmphasistextChar"/>
    <w:qFormat/>
    <w:rsid w:val="00780E77"/>
    <w:pPr>
      <w:spacing w:before="180" w:after="60"/>
    </w:pPr>
    <w:rPr>
      <w:rFonts w:eastAsiaTheme="minorHAnsi"/>
      <w:b/>
      <w:color w:val="EA9922"/>
      <w:lang w:eastAsia="en-NZ"/>
    </w:rPr>
  </w:style>
  <w:style w:type="character" w:customStyle="1" w:styleId="EmphasistextChar">
    <w:name w:val="Emphasis text Char"/>
    <w:basedOn w:val="DefaultParagraphFont"/>
    <w:link w:val="Emphasistext"/>
    <w:rsid w:val="00780E77"/>
    <w:rPr>
      <w:rFonts w:ascii="Calibri" w:eastAsiaTheme="minorHAnsi" w:hAnsi="Calibri"/>
      <w:b/>
      <w:color w:val="EA9922"/>
      <w:sz w:val="22"/>
      <w:lang w:eastAsia="en-NZ"/>
    </w:rPr>
  </w:style>
  <w:style w:type="paragraph" w:customStyle="1" w:styleId="Text2">
    <w:name w:val="Text 2"/>
    <w:basedOn w:val="Normal"/>
    <w:qFormat/>
    <w:rsid w:val="006051D8"/>
    <w:pPr>
      <w:spacing w:after="120" w:line="240" w:lineRule="auto"/>
    </w:pPr>
  </w:style>
  <w:style w:type="paragraph" w:styleId="NoSpacing">
    <w:name w:val="No Spacing"/>
    <w:link w:val="NoSpacingChar"/>
    <w:uiPriority w:val="1"/>
    <w:qFormat/>
    <w:rsid w:val="00494724"/>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94724"/>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semiHidden/>
    <w:unhideWhenUsed/>
    <w:rsid w:val="00547EB8"/>
    <w:rPr>
      <w:color w:val="808080" w:themeColor="followedHyperlink"/>
      <w:u w:val="single"/>
    </w:rPr>
  </w:style>
  <w:style w:type="paragraph" w:styleId="TOC3">
    <w:name w:val="toc 3"/>
    <w:basedOn w:val="Normal"/>
    <w:next w:val="Normal"/>
    <w:autoRedefine/>
    <w:uiPriority w:val="39"/>
    <w:rsid w:val="00A100F4"/>
    <w:pPr>
      <w:tabs>
        <w:tab w:val="right" w:leader="dot" w:pos="9072"/>
      </w:tabs>
      <w:spacing w:after="10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Corporate%20Cover%20-%20Complex%20Template\Green%20-%20Complex%20Template.dotx" TargetMode="External"/></Relationship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A1662699</value>
    </field>
    <field name="Objective-Title">
      <value order="0">Template - Initial Privacy Impact Assessment Report - Analysing Student Data Jan 2021</value>
    </field>
    <field name="Objective-Description">
      <value order="0"/>
    </field>
    <field name="Objective-CreationStamp">
      <value order="0">2021-01-19T04:59:52Z</value>
    </field>
    <field name="Objective-IsApproved">
      <value order="0">false</value>
    </field>
    <field name="Objective-IsPublished">
      <value order="0">true</value>
    </field>
    <field name="Objective-DatePublished">
      <value order="0">2021-01-19T05:09:36Z</value>
    </field>
    <field name="Objective-ModificationStamp">
      <value order="0">2021-01-19T05:09:36Z</value>
    </field>
    <field name="Objective-Owner">
      <value order="0">Sharon Blowers</value>
    </field>
    <field name="Objective-Path">
      <value order="0">Objective Global Folder:TEC Global Folder (fA27):Communications:Workstreams:Account Management:Oritetanga - Strategic Communications Account Management:TEC Analysing Student Data Resource - Oritetanga Account Management</value>
    </field>
    <field name="Objective-Parent">
      <value order="0">TEC Analysing Student Data Resource - Oritetanga Account Management</value>
    </field>
    <field name="Objective-State">
      <value order="0">Published</value>
    </field>
    <field name="Objective-VersionId">
      <value order="0">vA3701070</value>
    </field>
    <field name="Objective-Version">
      <value order="0">1.0</value>
    </field>
    <field name="Objective-VersionNumber">
      <value order="0">2</value>
    </field>
    <field name="Objective-VersionComment">
      <value order="0">Version 2</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6C67F4FD-4561-438D-ADA7-711B86D5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 - Complex Template</Template>
  <TotalTime>2</TotalTime>
  <Pages>3</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dc:creator>
  <cp:lastModifiedBy>Carolyn Lankow</cp:lastModifiedBy>
  <cp:revision>3</cp:revision>
  <cp:lastPrinted>2020-12-01T22:58:00Z</cp:lastPrinted>
  <dcterms:created xsi:type="dcterms:W3CDTF">2021-01-31T22:06:00Z</dcterms:created>
  <dcterms:modified xsi:type="dcterms:W3CDTF">2021-01-31T22:07:00Z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A1662699</vt:lpwstr>
  </property>
  <property fmtid="{D5CDD505-2E9C-101B-9397-08002B2CF9AE}" pid="4" name="Objective-Title">
    <vt:lpwstr>Template - Initial Privacy Impact Assessment Report - Analysing Student Data Jan 2021</vt:lpwstr>
  </property>
  <property fmtid="{D5CDD505-2E9C-101B-9397-08002B2CF9AE}" pid="5" name="Objective-Description">
    <vt:lpwstr/>
  </property>
  <property fmtid="{D5CDD505-2E9C-101B-9397-08002B2CF9AE}" pid="6" name="Objective-CreationStamp">
    <vt:filetime>2021-01-19T04:59:59Z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2021-01-19T05:09:36Z</vt:filetime>
  </property>
  <property fmtid="{D5CDD505-2E9C-101B-9397-08002B2CF9AE}" pid="10" name="Objective-ModificationStamp">
    <vt:filetime>2021-01-19T05:09:36Z</vt:filetime>
  </property>
  <property fmtid="{D5CDD505-2E9C-101B-9397-08002B2CF9AE}" pid="11" name="Objective-Owner">
    <vt:lpwstr>Sharon Blowers</vt:lpwstr>
  </property>
  <property fmtid="{D5CDD505-2E9C-101B-9397-08002B2CF9AE}" pid="12" name="Objective-Path">
    <vt:lpwstr>Objective Global Folder:TEC Global Folder (fA27):Communications:Workstreams:Account Management:Oritetanga - Strategic Communications Account Management:TEC Analysing Student Data Resource - Oritetanga Account Management:</vt:lpwstr>
  </property>
  <property fmtid="{D5CDD505-2E9C-101B-9397-08002B2CF9AE}" pid="13" name="Objective-Parent">
    <vt:lpwstr>TEC Analysing Student Data Resource - Oritetanga Account Management</vt:lpwstr>
  </property>
  <property fmtid="{D5CDD505-2E9C-101B-9397-08002B2CF9AE}" pid="14" name="Objective-State">
    <vt:lpwstr>Published</vt:lpwstr>
  </property>
  <property fmtid="{D5CDD505-2E9C-101B-9397-08002B2CF9AE}" pid="15" name="Objective-VersionId">
    <vt:lpwstr>vA3701070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