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2135A" w14:textId="26BDFBA9" w:rsidR="005C2A4B" w:rsidRDefault="005C2A4B" w:rsidP="005C2A4B">
      <w:pPr>
        <w:pStyle w:val="Header"/>
        <w:tabs>
          <w:tab w:val="clear" w:pos="4513"/>
        </w:tabs>
        <w:rPr>
          <w:lang w:val="mi-NZ"/>
        </w:rPr>
      </w:pPr>
      <w:bookmarkStart w:id="0" w:name="_GoBack"/>
      <w:bookmarkEnd w:id="0"/>
      <w:r>
        <w:rPr>
          <w:rFonts w:ascii="Arial" w:hAnsi="Arial" w:cs="Arial"/>
          <w:noProof/>
          <w:lang w:eastAsia="en-NZ"/>
        </w:rPr>
        <w:drawing>
          <wp:inline distT="0" distB="0" distL="0" distR="0" wp14:anchorId="7B530633" wp14:editId="3B21CF49">
            <wp:extent cx="2475781" cy="1060279"/>
            <wp:effectExtent l="0" t="0" r="1270" b="6985"/>
            <wp:docPr id="76" name="Picture 76" descr="C:\Users\blynch\Objective\blynch\objective-8008\Objects\TEC-Left_Aligned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ynch\Objective\blynch\objective-8008\Objects\TEC-Left_Aligned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70" cy="106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9E7A2" w14:textId="77777777" w:rsidR="005C2A4B" w:rsidRDefault="005C2A4B" w:rsidP="00761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6F783EEC" w14:textId="4BD7E999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C303C5">
        <w:rPr>
          <w:rFonts w:cs="Arial"/>
          <w:b/>
          <w:bCs/>
          <w:color w:val="000000"/>
          <w:sz w:val="28"/>
          <w:szCs w:val="28"/>
        </w:rPr>
        <w:t>Illustrative agreed-upon procedures report in</w:t>
      </w:r>
      <w:r w:rsidRPr="00C303C5">
        <w:rPr>
          <w:rFonts w:cs="Arial"/>
          <w:b/>
          <w:color w:val="000000"/>
          <w:sz w:val="28"/>
          <w:szCs w:val="28"/>
        </w:rPr>
        <w:t xml:space="preserve"> respect of </w:t>
      </w:r>
      <w:r w:rsidR="00DA356D" w:rsidRPr="00C303C5">
        <w:rPr>
          <w:rFonts w:cs="Arial"/>
          <w:b/>
          <w:color w:val="000000"/>
          <w:sz w:val="28"/>
          <w:szCs w:val="28"/>
        </w:rPr>
        <w:t xml:space="preserve">a </w:t>
      </w:r>
      <w:r w:rsidR="001F0975" w:rsidRPr="00C303C5">
        <w:rPr>
          <w:rFonts w:cs="Arial"/>
          <w:b/>
          <w:color w:val="000000"/>
          <w:sz w:val="28"/>
          <w:szCs w:val="28"/>
        </w:rPr>
        <w:t>PTE</w:t>
      </w:r>
      <w:r w:rsidR="00DA356D" w:rsidRPr="00C303C5">
        <w:rPr>
          <w:rFonts w:cs="Arial"/>
          <w:b/>
          <w:color w:val="000000"/>
          <w:sz w:val="28"/>
          <w:szCs w:val="28"/>
        </w:rPr>
        <w:t xml:space="preserve">’s </w:t>
      </w:r>
      <w:r w:rsidR="001F0975" w:rsidRPr="00C303C5">
        <w:rPr>
          <w:rFonts w:cs="Arial"/>
          <w:b/>
          <w:color w:val="000000"/>
          <w:sz w:val="28"/>
          <w:szCs w:val="28"/>
        </w:rPr>
        <w:t>p</w:t>
      </w:r>
      <w:r w:rsidRPr="00C303C5">
        <w:rPr>
          <w:rFonts w:cs="Arial"/>
          <w:b/>
          <w:color w:val="000000"/>
          <w:sz w:val="28"/>
          <w:szCs w:val="28"/>
        </w:rPr>
        <w:t xml:space="preserve">rudential </w:t>
      </w:r>
      <w:r w:rsidR="001F0975" w:rsidRPr="00C303C5">
        <w:rPr>
          <w:rFonts w:cs="Arial"/>
          <w:b/>
          <w:color w:val="000000"/>
          <w:sz w:val="28"/>
          <w:szCs w:val="28"/>
        </w:rPr>
        <w:t>f</w:t>
      </w:r>
      <w:r w:rsidRPr="00C303C5">
        <w:rPr>
          <w:rFonts w:cs="Arial"/>
          <w:b/>
          <w:color w:val="000000"/>
          <w:sz w:val="28"/>
          <w:szCs w:val="28"/>
        </w:rPr>
        <w:t xml:space="preserve">inancial </w:t>
      </w:r>
      <w:r w:rsidR="001F0975" w:rsidRPr="00C303C5">
        <w:rPr>
          <w:rFonts w:cs="Arial"/>
          <w:b/>
          <w:color w:val="000000"/>
          <w:sz w:val="28"/>
          <w:szCs w:val="28"/>
        </w:rPr>
        <w:t>s</w:t>
      </w:r>
      <w:r w:rsidRPr="00C303C5">
        <w:rPr>
          <w:rFonts w:cs="Arial"/>
          <w:b/>
          <w:color w:val="000000"/>
          <w:sz w:val="28"/>
          <w:szCs w:val="28"/>
        </w:rPr>
        <w:t>tandards calculations</w:t>
      </w:r>
    </w:p>
    <w:p w14:paraId="7312E13D" w14:textId="77777777" w:rsidR="00A70B44" w:rsidRPr="00C303C5" w:rsidRDefault="00A70B44" w:rsidP="007610D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</w:p>
    <w:p w14:paraId="3657DB85" w14:textId="77777777" w:rsidR="00A70B44" w:rsidRPr="00C303C5" w:rsidRDefault="00A70B44" w:rsidP="007610D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C303C5">
        <w:rPr>
          <w:rFonts w:cs="Arial"/>
          <w:b/>
          <w:color w:val="000000"/>
        </w:rPr>
        <w:t>Report of factual findings</w:t>
      </w:r>
    </w:p>
    <w:p w14:paraId="638D489E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E27C44B" w14:textId="77777777" w:rsidR="007610D9" w:rsidRPr="00C303C5" w:rsidRDefault="00A70B44" w:rsidP="007610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03C5">
        <w:rPr>
          <w:rFonts w:cs="Arial"/>
          <w:color w:val="000000"/>
        </w:rPr>
        <w:t xml:space="preserve">To </w:t>
      </w:r>
      <w:r w:rsidR="00AC35BD" w:rsidRPr="00C303C5">
        <w:rPr>
          <w:rFonts w:cs="Arial"/>
          <w:color w:val="000000"/>
        </w:rPr>
        <w:t>the Directors</w:t>
      </w:r>
    </w:p>
    <w:p w14:paraId="16A2447F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A2A680B" w14:textId="4E5147A2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303C5">
        <w:rPr>
          <w:rFonts w:cs="Arial"/>
          <w:color w:val="000000"/>
        </w:rPr>
        <w:t xml:space="preserve">We performed the procedures agreed with you </w:t>
      </w:r>
      <w:r w:rsidR="00526972" w:rsidRPr="00C303C5">
        <w:rPr>
          <w:rFonts w:cs="Arial"/>
          <w:color w:val="000000"/>
        </w:rPr>
        <w:t>and the Tertiary Education Commission</w:t>
      </w:r>
      <w:r w:rsidR="001F0975" w:rsidRPr="00C303C5">
        <w:rPr>
          <w:rFonts w:cs="Arial"/>
          <w:color w:val="000000"/>
        </w:rPr>
        <w:t xml:space="preserve"> (TEC)</w:t>
      </w:r>
      <w:r w:rsidR="00526972" w:rsidRPr="00C303C5">
        <w:rPr>
          <w:rFonts w:cs="Arial"/>
          <w:color w:val="000000"/>
        </w:rPr>
        <w:t xml:space="preserve">, </w:t>
      </w:r>
      <w:r w:rsidRPr="00C303C5">
        <w:rPr>
          <w:rFonts w:cs="Arial"/>
          <w:color w:val="000000"/>
        </w:rPr>
        <w:t xml:space="preserve">and </w:t>
      </w:r>
      <w:r w:rsidR="00AC35BD" w:rsidRPr="00C303C5">
        <w:rPr>
          <w:rFonts w:cs="Arial"/>
          <w:color w:val="000000"/>
        </w:rPr>
        <w:t>outlined</w:t>
      </w:r>
      <w:r w:rsidRPr="00C303C5">
        <w:rPr>
          <w:rFonts w:cs="Arial"/>
          <w:color w:val="000000"/>
        </w:rPr>
        <w:t xml:space="preserve"> below</w:t>
      </w:r>
      <w:r w:rsidR="00526972" w:rsidRPr="00C303C5">
        <w:rPr>
          <w:rFonts w:cs="Arial"/>
          <w:color w:val="000000"/>
        </w:rPr>
        <w:t>,</w:t>
      </w:r>
      <w:r w:rsidRPr="00C303C5">
        <w:rPr>
          <w:rFonts w:cs="Arial"/>
          <w:color w:val="000000"/>
        </w:rPr>
        <w:t xml:space="preserve"> with respect to the </w:t>
      </w:r>
      <w:r w:rsidR="001F0975" w:rsidRPr="00C303C5">
        <w:rPr>
          <w:rFonts w:cs="Arial"/>
          <w:color w:val="000000"/>
        </w:rPr>
        <w:t>p</w:t>
      </w:r>
      <w:r w:rsidR="00AC35BD" w:rsidRPr="00C303C5">
        <w:rPr>
          <w:rFonts w:cs="Arial"/>
          <w:color w:val="000000"/>
        </w:rPr>
        <w:t xml:space="preserve">rudential </w:t>
      </w:r>
      <w:r w:rsidR="001F0975" w:rsidRPr="00C303C5">
        <w:rPr>
          <w:rFonts w:cs="Arial"/>
          <w:color w:val="000000"/>
        </w:rPr>
        <w:t>f</w:t>
      </w:r>
      <w:r w:rsidR="00AC35BD" w:rsidRPr="00C303C5">
        <w:rPr>
          <w:rFonts w:cs="Arial"/>
          <w:color w:val="000000"/>
        </w:rPr>
        <w:t xml:space="preserve">inancial </w:t>
      </w:r>
      <w:r w:rsidR="001F0975" w:rsidRPr="00C303C5">
        <w:rPr>
          <w:rFonts w:cs="Arial"/>
          <w:color w:val="000000"/>
        </w:rPr>
        <w:t>s</w:t>
      </w:r>
      <w:r w:rsidR="00AC35BD" w:rsidRPr="00C303C5">
        <w:rPr>
          <w:rFonts w:cs="Arial"/>
          <w:color w:val="000000"/>
        </w:rPr>
        <w:t>tandards</w:t>
      </w:r>
      <w:r w:rsidRPr="00C303C5">
        <w:rPr>
          <w:rFonts w:cs="Arial"/>
          <w:color w:val="000000"/>
        </w:rPr>
        <w:t xml:space="preserve"> </w:t>
      </w:r>
      <w:r w:rsidR="00AC35BD" w:rsidRPr="00C303C5">
        <w:rPr>
          <w:rFonts w:cs="Arial"/>
          <w:color w:val="000000"/>
        </w:rPr>
        <w:t xml:space="preserve">calculations </w:t>
      </w:r>
      <w:r w:rsidRPr="00C303C5">
        <w:rPr>
          <w:rFonts w:cs="Arial"/>
          <w:color w:val="000000"/>
        </w:rPr>
        <w:t xml:space="preserve">of </w:t>
      </w:r>
      <w:r w:rsidR="00AC35BD" w:rsidRPr="00C303C5">
        <w:rPr>
          <w:rFonts w:cs="Arial"/>
          <w:color w:val="000000"/>
        </w:rPr>
        <w:t>PTE</w:t>
      </w:r>
      <w:r w:rsidRPr="00C303C5">
        <w:rPr>
          <w:rFonts w:cs="Arial"/>
          <w:color w:val="000000"/>
        </w:rPr>
        <w:t xml:space="preserve"> Company </w:t>
      </w:r>
      <w:r w:rsidR="00AC35BD" w:rsidRPr="00C303C5">
        <w:rPr>
          <w:rFonts w:cs="Arial"/>
          <w:color w:val="000000"/>
        </w:rPr>
        <w:t xml:space="preserve">Ltd </w:t>
      </w:r>
      <w:r w:rsidRPr="00C303C5">
        <w:rPr>
          <w:rFonts w:cs="Arial"/>
          <w:color w:val="000000"/>
        </w:rPr>
        <w:t xml:space="preserve">as of 31 </w:t>
      </w:r>
      <w:r w:rsidR="00AC35BD" w:rsidRPr="00C303C5">
        <w:rPr>
          <w:rFonts w:cs="Arial"/>
          <w:color w:val="000000"/>
        </w:rPr>
        <w:t>December 2015</w:t>
      </w:r>
      <w:r w:rsidR="00DA356D" w:rsidRPr="00C303C5">
        <w:rPr>
          <w:rFonts w:cs="Arial"/>
          <w:color w:val="000000"/>
        </w:rPr>
        <w:t xml:space="preserve"> and 31 December 2016</w:t>
      </w:r>
      <w:r w:rsidRPr="00C303C5">
        <w:rPr>
          <w:rFonts w:cs="Arial"/>
          <w:color w:val="000000"/>
        </w:rPr>
        <w:t>, set forth in the accompanying schedule</w:t>
      </w:r>
      <w:r w:rsidR="00DA356D" w:rsidRPr="00C303C5">
        <w:rPr>
          <w:rFonts w:cs="Arial"/>
          <w:color w:val="000000"/>
        </w:rPr>
        <w:t>.</w:t>
      </w:r>
      <w:r w:rsidRPr="00C303C5">
        <w:rPr>
          <w:rFonts w:cs="Arial"/>
          <w:color w:val="000000"/>
        </w:rPr>
        <w:t xml:space="preserve"> Our engagement was un</w:t>
      </w:r>
      <w:r w:rsidR="00827BC5" w:rsidRPr="00C303C5">
        <w:rPr>
          <w:rFonts w:cs="Arial"/>
          <w:color w:val="000000"/>
        </w:rPr>
        <w:t xml:space="preserve">dertaken in accordance with </w:t>
      </w:r>
      <w:r w:rsidR="00AC35BD" w:rsidRPr="00C303C5">
        <w:rPr>
          <w:rFonts w:cs="Arial"/>
          <w:color w:val="000000" w:themeColor="text1"/>
        </w:rPr>
        <w:t xml:space="preserve">APS-1 </w:t>
      </w:r>
      <w:r w:rsidR="00AC35BD" w:rsidRPr="00C303C5">
        <w:rPr>
          <w:rFonts w:cs="Arial"/>
          <w:i/>
          <w:color w:val="000000" w:themeColor="text1"/>
        </w:rPr>
        <w:t>Statement of Agreed-upon Procedures Engagement Standard</w:t>
      </w:r>
      <w:r w:rsidR="00AC35BD" w:rsidRPr="00C303C5">
        <w:rPr>
          <w:rFonts w:cs="Arial"/>
          <w:color w:val="000000"/>
        </w:rPr>
        <w:t xml:space="preserve"> </w:t>
      </w:r>
      <w:r w:rsidRPr="00C303C5">
        <w:rPr>
          <w:rFonts w:cs="Arial"/>
          <w:color w:val="000000"/>
        </w:rPr>
        <w:t xml:space="preserve">and Guidelines </w:t>
      </w:r>
      <w:r w:rsidR="00526972" w:rsidRPr="00C303C5">
        <w:rPr>
          <w:rFonts w:cs="Arial"/>
          <w:color w:val="000000"/>
        </w:rPr>
        <w:t>of</w:t>
      </w:r>
      <w:r w:rsidRPr="00C303C5">
        <w:rPr>
          <w:rFonts w:cs="Arial"/>
          <w:color w:val="000000"/>
        </w:rPr>
        <w:t xml:space="preserve"> the New Zealand </w:t>
      </w:r>
      <w:r w:rsidR="00526972" w:rsidRPr="00C303C5">
        <w:rPr>
          <w:rFonts w:cs="Arial"/>
          <w:color w:val="000000"/>
        </w:rPr>
        <w:t>Institute of Chartered</w:t>
      </w:r>
      <w:r w:rsidRPr="00C303C5">
        <w:rPr>
          <w:rFonts w:cs="Arial"/>
          <w:color w:val="000000"/>
        </w:rPr>
        <w:t xml:space="preserve"> Accountants</w:t>
      </w:r>
      <w:r w:rsidR="00526972" w:rsidRPr="00C303C5">
        <w:rPr>
          <w:rFonts w:cs="Arial"/>
          <w:color w:val="000000"/>
        </w:rPr>
        <w:t xml:space="preserve"> (NZICA)</w:t>
      </w:r>
      <w:r w:rsidRPr="00C303C5">
        <w:rPr>
          <w:rFonts w:cs="Arial"/>
          <w:color w:val="000000"/>
        </w:rPr>
        <w:t xml:space="preserve">. We disclaim any assumption of responsibility for the adequacy or otherwise of </w:t>
      </w:r>
      <w:r w:rsidR="00AC35BD" w:rsidRPr="00C303C5">
        <w:rPr>
          <w:rFonts w:cs="Arial"/>
          <w:color w:val="000000"/>
        </w:rPr>
        <w:t>the procedures requested by you.</w:t>
      </w:r>
      <w:r w:rsidRPr="00C303C5">
        <w:rPr>
          <w:rFonts w:cs="Arial"/>
          <w:color w:val="000000"/>
        </w:rPr>
        <w:t xml:space="preserve"> </w:t>
      </w:r>
      <w:r w:rsidR="001B0257" w:rsidRPr="00C303C5">
        <w:rPr>
          <w:rFonts w:cs="Arial"/>
          <w:color w:val="000000"/>
        </w:rPr>
        <w:t xml:space="preserve">You and the </w:t>
      </w:r>
      <w:r w:rsidR="001F0975" w:rsidRPr="00C303C5">
        <w:rPr>
          <w:rFonts w:cs="Arial"/>
          <w:color w:val="000000"/>
        </w:rPr>
        <w:t>TEC</w:t>
      </w:r>
      <w:r w:rsidR="001B0257" w:rsidRPr="00C303C5">
        <w:rPr>
          <w:rFonts w:cs="Arial"/>
          <w:color w:val="000000"/>
        </w:rPr>
        <w:t xml:space="preserve"> are responsible for determining whether factual findings provided by us, in combination with other information obtained, provide a reasonable basis for any conclusion which you wish to draw on the</w:t>
      </w:r>
      <w:r w:rsidR="001F0975" w:rsidRPr="00C303C5">
        <w:rPr>
          <w:rFonts w:cs="Arial"/>
          <w:color w:val="000000"/>
        </w:rPr>
        <w:t xml:space="preserve"> subject matter.</w:t>
      </w:r>
    </w:p>
    <w:p w14:paraId="77E658C4" w14:textId="77777777" w:rsidR="00AC35BD" w:rsidRPr="00C303C5" w:rsidRDefault="00AC35BD" w:rsidP="007610D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AE8512F" w14:textId="0B6F150F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303C5">
        <w:rPr>
          <w:rFonts w:cs="Arial"/>
          <w:color w:val="000000"/>
        </w:rPr>
        <w:t xml:space="preserve">The procedures were performed solely to assist you </w:t>
      </w:r>
      <w:r w:rsidR="00AC35BD" w:rsidRPr="00C303C5">
        <w:rPr>
          <w:rFonts w:cs="Arial"/>
          <w:color w:val="000000"/>
        </w:rPr>
        <w:t xml:space="preserve">and the </w:t>
      </w:r>
      <w:r w:rsidR="001F0975" w:rsidRPr="00C303C5">
        <w:rPr>
          <w:rFonts w:cs="Arial"/>
        </w:rPr>
        <w:t>TEC</w:t>
      </w:r>
      <w:r w:rsidR="00AC35BD" w:rsidRPr="00C303C5">
        <w:rPr>
          <w:rFonts w:cs="Arial"/>
        </w:rPr>
        <w:t xml:space="preserve"> </w:t>
      </w:r>
      <w:r w:rsidR="00526972" w:rsidRPr="00C303C5">
        <w:rPr>
          <w:rFonts w:cs="Arial"/>
          <w:color w:val="000000"/>
        </w:rPr>
        <w:t>to</w:t>
      </w:r>
      <w:r w:rsidRPr="00C303C5">
        <w:rPr>
          <w:rFonts w:cs="Arial"/>
          <w:color w:val="000000"/>
        </w:rPr>
        <w:t xml:space="preserve"> </w:t>
      </w:r>
      <w:r w:rsidR="00AC35BD" w:rsidRPr="00C303C5">
        <w:rPr>
          <w:rFonts w:cs="Arial"/>
          <w:color w:val="000000"/>
        </w:rPr>
        <w:t xml:space="preserve">assess the </w:t>
      </w:r>
      <w:r w:rsidR="00AC35BD" w:rsidRPr="00C303C5">
        <w:rPr>
          <w:rFonts w:eastAsia="Arial" w:cs="Arial"/>
        </w:rPr>
        <w:t>o</w:t>
      </w:r>
      <w:r w:rsidR="00AC35BD" w:rsidRPr="00C303C5">
        <w:rPr>
          <w:rFonts w:eastAsia="Arial" w:cs="Arial"/>
          <w:spacing w:val="-3"/>
        </w:rPr>
        <w:t>n</w:t>
      </w:r>
      <w:r w:rsidR="00AC35BD" w:rsidRPr="00C303C5">
        <w:rPr>
          <w:rFonts w:eastAsia="Arial" w:cs="Arial"/>
          <w:spacing w:val="2"/>
        </w:rPr>
        <w:t>g</w:t>
      </w:r>
      <w:r w:rsidR="00AC35BD" w:rsidRPr="00C303C5">
        <w:rPr>
          <w:rFonts w:eastAsia="Arial" w:cs="Arial"/>
        </w:rPr>
        <w:t>o</w:t>
      </w:r>
      <w:r w:rsidR="00AC35BD" w:rsidRPr="00C303C5">
        <w:rPr>
          <w:rFonts w:eastAsia="Arial" w:cs="Arial"/>
          <w:spacing w:val="-1"/>
        </w:rPr>
        <w:t>i</w:t>
      </w:r>
      <w:r w:rsidR="00AC35BD" w:rsidRPr="00C303C5">
        <w:rPr>
          <w:rFonts w:eastAsia="Arial" w:cs="Arial"/>
          <w:spacing w:val="-3"/>
        </w:rPr>
        <w:t>n</w:t>
      </w:r>
      <w:r w:rsidR="00AC35BD" w:rsidRPr="00C303C5">
        <w:rPr>
          <w:rFonts w:eastAsia="Arial" w:cs="Arial"/>
        </w:rPr>
        <w:t>g</w:t>
      </w:r>
      <w:r w:rsidR="00AC35BD" w:rsidRPr="00C303C5">
        <w:rPr>
          <w:rFonts w:eastAsia="Arial" w:cs="Arial"/>
          <w:spacing w:val="-1"/>
        </w:rPr>
        <w:t xml:space="preserve"> </w:t>
      </w:r>
      <w:r w:rsidR="00AC35BD" w:rsidRPr="00C303C5">
        <w:rPr>
          <w:rFonts w:eastAsia="Arial" w:cs="Arial"/>
          <w:spacing w:val="3"/>
        </w:rPr>
        <w:t>f</w:t>
      </w:r>
      <w:r w:rsidR="00AC35BD" w:rsidRPr="00C303C5">
        <w:rPr>
          <w:rFonts w:eastAsia="Arial" w:cs="Arial"/>
          <w:spacing w:val="-1"/>
        </w:rPr>
        <w:t>i</w:t>
      </w:r>
      <w:r w:rsidR="00AC35BD" w:rsidRPr="00C303C5">
        <w:rPr>
          <w:rFonts w:eastAsia="Arial" w:cs="Arial"/>
        </w:rPr>
        <w:t>nanc</w:t>
      </w:r>
      <w:r w:rsidR="00AC35BD" w:rsidRPr="00C303C5">
        <w:rPr>
          <w:rFonts w:eastAsia="Arial" w:cs="Arial"/>
          <w:spacing w:val="-1"/>
        </w:rPr>
        <w:t>i</w:t>
      </w:r>
      <w:r w:rsidR="00AC35BD" w:rsidRPr="00C303C5">
        <w:rPr>
          <w:rFonts w:eastAsia="Arial" w:cs="Arial"/>
        </w:rPr>
        <w:t xml:space="preserve">al </w:t>
      </w:r>
      <w:proofErr w:type="gramStart"/>
      <w:r w:rsidR="00AC35BD" w:rsidRPr="00C303C5">
        <w:rPr>
          <w:rFonts w:eastAsia="Arial" w:cs="Arial"/>
          <w:spacing w:val="-2"/>
        </w:rPr>
        <w:t>v</w:t>
      </w:r>
      <w:r w:rsidR="00AC35BD" w:rsidRPr="00C303C5">
        <w:rPr>
          <w:rFonts w:eastAsia="Arial" w:cs="Arial"/>
          <w:spacing w:val="-1"/>
        </w:rPr>
        <w:t>i</w:t>
      </w:r>
      <w:r w:rsidR="00AC35BD" w:rsidRPr="00C303C5">
        <w:rPr>
          <w:rFonts w:eastAsia="Arial" w:cs="Arial"/>
        </w:rPr>
        <w:t>ab</w:t>
      </w:r>
      <w:r w:rsidR="00AC35BD" w:rsidRPr="00C303C5">
        <w:rPr>
          <w:rFonts w:eastAsia="Arial" w:cs="Arial"/>
          <w:spacing w:val="-1"/>
        </w:rPr>
        <w:t>i</w:t>
      </w:r>
      <w:r w:rsidR="00AC35BD" w:rsidRPr="00C303C5">
        <w:rPr>
          <w:rFonts w:eastAsia="Arial" w:cs="Arial"/>
          <w:spacing w:val="1"/>
        </w:rPr>
        <w:t>l</w:t>
      </w:r>
      <w:r w:rsidR="00AC35BD" w:rsidRPr="00C303C5">
        <w:rPr>
          <w:rFonts w:eastAsia="Arial" w:cs="Arial"/>
          <w:spacing w:val="-1"/>
        </w:rPr>
        <w:t>i</w:t>
      </w:r>
      <w:r w:rsidR="00AC35BD" w:rsidRPr="00C303C5">
        <w:rPr>
          <w:rFonts w:eastAsia="Arial" w:cs="Arial"/>
          <w:spacing w:val="1"/>
        </w:rPr>
        <w:t>t</w:t>
      </w:r>
      <w:r w:rsidR="00AC35BD" w:rsidRPr="00C303C5">
        <w:rPr>
          <w:rFonts w:eastAsia="Arial" w:cs="Arial"/>
          <w:spacing w:val="-2"/>
        </w:rPr>
        <w:t>y</w:t>
      </w:r>
      <w:proofErr w:type="gramEnd"/>
      <w:r w:rsidR="00AC35BD" w:rsidRPr="00C303C5">
        <w:rPr>
          <w:rFonts w:eastAsia="Arial" w:cs="Arial"/>
          <w:spacing w:val="-2"/>
        </w:rPr>
        <w:t xml:space="preserve"> of PTE Company Ltd</w:t>
      </w:r>
      <w:r w:rsidRPr="00C303C5">
        <w:rPr>
          <w:rFonts w:cs="Arial"/>
          <w:color w:val="000000"/>
        </w:rPr>
        <w:t xml:space="preserve"> and are as follows: </w:t>
      </w:r>
    </w:p>
    <w:p w14:paraId="1D7F6D31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4395"/>
        <w:gridCol w:w="3502"/>
        <w:gridCol w:w="1350"/>
      </w:tblGrid>
      <w:tr w:rsidR="00840CFD" w:rsidRPr="00C303C5" w14:paraId="509B75A9" w14:textId="77777777" w:rsidTr="00C303C5">
        <w:tc>
          <w:tcPr>
            <w:tcW w:w="4395" w:type="dxa"/>
            <w:vAlign w:val="center"/>
          </w:tcPr>
          <w:p w14:paraId="3B56351A" w14:textId="2D07D9A7" w:rsidR="00840CFD" w:rsidRPr="00C303C5" w:rsidRDefault="00840CFD" w:rsidP="0052697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03C5">
              <w:rPr>
                <w:rFonts w:cs="Arial"/>
                <w:b/>
              </w:rPr>
              <w:t>Procedures</w:t>
            </w:r>
          </w:p>
        </w:tc>
        <w:tc>
          <w:tcPr>
            <w:tcW w:w="3502" w:type="dxa"/>
            <w:vAlign w:val="center"/>
          </w:tcPr>
          <w:p w14:paraId="75400155" w14:textId="6EB03F8F" w:rsidR="00840CFD" w:rsidRPr="00C303C5" w:rsidRDefault="00F92E5A" w:rsidP="0052697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03C5">
              <w:rPr>
                <w:rFonts w:cs="Arial"/>
                <w:b/>
              </w:rPr>
              <w:t>Factual f</w:t>
            </w:r>
            <w:r w:rsidR="00840CFD" w:rsidRPr="00C303C5">
              <w:rPr>
                <w:rFonts w:cs="Arial"/>
                <w:b/>
              </w:rPr>
              <w:t>indings</w:t>
            </w:r>
          </w:p>
        </w:tc>
        <w:tc>
          <w:tcPr>
            <w:tcW w:w="1350" w:type="dxa"/>
          </w:tcPr>
          <w:p w14:paraId="33800062" w14:textId="239278A2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03C5">
              <w:rPr>
                <w:rFonts w:cs="Arial"/>
                <w:b/>
              </w:rPr>
              <w:t>Errors or exceptions identified</w:t>
            </w:r>
          </w:p>
        </w:tc>
      </w:tr>
      <w:tr w:rsidR="00840CFD" w:rsidRPr="00C303C5" w14:paraId="02165EAD" w14:textId="3885081D" w:rsidTr="00C303C5">
        <w:tc>
          <w:tcPr>
            <w:tcW w:w="4395" w:type="dxa"/>
          </w:tcPr>
          <w:p w14:paraId="4A92F038" w14:textId="4CDBA83F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</w:rPr>
              <w:t xml:space="preserve">We obtained </w:t>
            </w:r>
            <w:r w:rsidRPr="00C303C5">
              <w:rPr>
                <w:rFonts w:cs="Arial"/>
                <w:color w:val="000000" w:themeColor="text1"/>
              </w:rPr>
              <w:t xml:space="preserve">the </w:t>
            </w:r>
            <w:r w:rsidR="001F0975" w:rsidRPr="00C303C5">
              <w:rPr>
                <w:rFonts w:cs="Arial"/>
                <w:color w:val="000000" w:themeColor="text1"/>
              </w:rPr>
              <w:t>p</w:t>
            </w:r>
            <w:r w:rsidRPr="00C303C5">
              <w:rPr>
                <w:rFonts w:cs="Arial"/>
                <w:color w:val="000000" w:themeColor="text1"/>
              </w:rPr>
              <w:t xml:space="preserve">rudential </w:t>
            </w:r>
            <w:r w:rsidR="001F0975" w:rsidRPr="00C303C5">
              <w:rPr>
                <w:rFonts w:cs="Arial"/>
                <w:color w:val="000000" w:themeColor="text1"/>
              </w:rPr>
              <w:t>f</w:t>
            </w:r>
            <w:r w:rsidRPr="00C303C5">
              <w:rPr>
                <w:rFonts w:cs="Arial"/>
                <w:color w:val="000000" w:themeColor="text1"/>
              </w:rPr>
              <w:t xml:space="preserve">inancial </w:t>
            </w:r>
            <w:r w:rsidR="001F0975" w:rsidRPr="00C303C5">
              <w:rPr>
                <w:rFonts w:cs="Arial"/>
                <w:color w:val="000000" w:themeColor="text1"/>
              </w:rPr>
              <w:t>s</w:t>
            </w:r>
            <w:r w:rsidRPr="00C303C5">
              <w:rPr>
                <w:rFonts w:cs="Arial"/>
                <w:color w:val="000000" w:themeColor="text1"/>
              </w:rPr>
              <w:t>tandards calculations a</w:t>
            </w:r>
            <w:r w:rsidR="001F0975" w:rsidRPr="00C303C5">
              <w:rPr>
                <w:rFonts w:cs="Arial"/>
                <w:color w:val="000000" w:themeColor="text1"/>
              </w:rPr>
              <w:t>s</w:t>
            </w:r>
            <w:r w:rsidRPr="00C303C5">
              <w:rPr>
                <w:rFonts w:cs="Arial"/>
                <w:color w:val="000000" w:themeColor="text1"/>
              </w:rPr>
              <w:t xml:space="preserve"> a</w:t>
            </w:r>
            <w:r w:rsidR="001F0975" w:rsidRPr="00C303C5">
              <w:rPr>
                <w:rFonts w:cs="Arial"/>
                <w:color w:val="000000" w:themeColor="text1"/>
              </w:rPr>
              <w:t>t</w:t>
            </w:r>
            <w:r w:rsidRPr="00C303C5">
              <w:rPr>
                <w:rFonts w:cs="Arial"/>
                <w:color w:val="000000" w:themeColor="text1"/>
              </w:rPr>
              <w:t xml:space="preserve"> 31 De</w:t>
            </w:r>
            <w:r w:rsidR="001F0975" w:rsidRPr="00C303C5">
              <w:rPr>
                <w:rFonts w:cs="Arial"/>
                <w:color w:val="000000" w:themeColor="text1"/>
              </w:rPr>
              <w:t>cember 2015 prepared by the PTE</w:t>
            </w:r>
          </w:p>
        </w:tc>
        <w:tc>
          <w:tcPr>
            <w:tcW w:w="3502" w:type="dxa"/>
          </w:tcPr>
          <w:p w14:paraId="4D964FDE" w14:textId="1EFF5812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03C5">
              <w:rPr>
                <w:rFonts w:cs="Arial"/>
              </w:rPr>
              <w:t>Obtained</w:t>
            </w:r>
          </w:p>
        </w:tc>
        <w:tc>
          <w:tcPr>
            <w:tcW w:w="1350" w:type="dxa"/>
          </w:tcPr>
          <w:p w14:paraId="6295011F" w14:textId="77777777" w:rsidR="00840CFD" w:rsidRPr="00C303C5" w:rsidRDefault="00840CFD" w:rsidP="00840CFD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</w:p>
        </w:tc>
      </w:tr>
      <w:tr w:rsidR="00840CFD" w:rsidRPr="00C303C5" w14:paraId="47BD7EFC" w14:textId="5A2B9626" w:rsidTr="00C303C5">
        <w:tc>
          <w:tcPr>
            <w:tcW w:w="4395" w:type="dxa"/>
          </w:tcPr>
          <w:p w14:paraId="40BA578C" w14:textId="7C51DE6B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 xml:space="preserve">We compared the components of the </w:t>
            </w:r>
            <w:r w:rsidR="001F0975" w:rsidRPr="00C303C5">
              <w:rPr>
                <w:rFonts w:cs="Arial"/>
                <w:color w:val="000000" w:themeColor="text1"/>
              </w:rPr>
              <w:t xml:space="preserve">prudential financial standards </w:t>
            </w:r>
            <w:r w:rsidRPr="00C303C5">
              <w:rPr>
                <w:rFonts w:cs="Arial"/>
                <w:color w:val="000000" w:themeColor="text1"/>
              </w:rPr>
              <w:t>calculations at as 31 December 2015 to the &lt;audited/reviewed&gt; financial stat</w:t>
            </w:r>
            <w:r w:rsidR="001F0975" w:rsidRPr="00C303C5">
              <w:rPr>
                <w:rFonts w:cs="Arial"/>
                <w:color w:val="000000" w:themeColor="text1"/>
              </w:rPr>
              <w:t>ements as at 31 December 2015</w:t>
            </w:r>
          </w:p>
        </w:tc>
        <w:tc>
          <w:tcPr>
            <w:tcW w:w="3502" w:type="dxa"/>
          </w:tcPr>
          <w:p w14:paraId="26553489" w14:textId="18EF95B3" w:rsidR="00840CFD" w:rsidRPr="00C303C5" w:rsidRDefault="00840CFD" w:rsidP="0074766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/>
              </w:rPr>
              <w:t>We found the amounts compared to be in agreement</w:t>
            </w:r>
            <w:r w:rsidR="00526972" w:rsidRPr="00C303C5">
              <w:rPr>
                <w:rFonts w:cs="Arial"/>
                <w:color w:val="000000"/>
              </w:rPr>
              <w:t xml:space="preserve"> &lt;except for the exceptions noted&gt;</w:t>
            </w:r>
            <w:r w:rsidRPr="00C303C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50" w:type="dxa"/>
          </w:tcPr>
          <w:p w14:paraId="552C1AA7" w14:textId="7C1BA7BB" w:rsidR="00840CFD" w:rsidRPr="00C303C5" w:rsidRDefault="00526972" w:rsidP="00840CF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>&lt;Detail the exceptions&gt;</w:t>
            </w:r>
          </w:p>
        </w:tc>
      </w:tr>
      <w:tr w:rsidR="00840CFD" w:rsidRPr="00C303C5" w14:paraId="49F9241C" w14:textId="033C71DB" w:rsidTr="00C303C5">
        <w:tc>
          <w:tcPr>
            <w:tcW w:w="4395" w:type="dxa"/>
          </w:tcPr>
          <w:p w14:paraId="517D2B76" w14:textId="0FFCECFC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</w:rPr>
              <w:t xml:space="preserve">We reperformed </w:t>
            </w:r>
            <w:r w:rsidRPr="00C303C5">
              <w:rPr>
                <w:rFonts w:cs="Arial"/>
                <w:color w:val="000000" w:themeColor="text1"/>
              </w:rPr>
              <w:t xml:space="preserve">the </w:t>
            </w:r>
            <w:r w:rsidR="001F0975" w:rsidRPr="00C303C5">
              <w:rPr>
                <w:rFonts w:cs="Arial"/>
                <w:color w:val="000000" w:themeColor="text1"/>
              </w:rPr>
              <w:t xml:space="preserve">prudential financial standards </w:t>
            </w:r>
            <w:r w:rsidRPr="00C303C5">
              <w:rPr>
                <w:rFonts w:cs="Arial"/>
                <w:color w:val="000000" w:themeColor="text1"/>
              </w:rPr>
              <w:t>calc</w:t>
            </w:r>
            <w:r w:rsidR="001F0975" w:rsidRPr="00C303C5">
              <w:rPr>
                <w:rFonts w:cs="Arial"/>
                <w:color w:val="000000" w:themeColor="text1"/>
              </w:rPr>
              <w:t>ulations as at 31 December 2015</w:t>
            </w:r>
          </w:p>
        </w:tc>
        <w:tc>
          <w:tcPr>
            <w:tcW w:w="3502" w:type="dxa"/>
          </w:tcPr>
          <w:p w14:paraId="5E79D23E" w14:textId="60BB2D24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303C5">
              <w:rPr>
                <w:rFonts w:cs="Arial"/>
                <w:color w:val="000000"/>
              </w:rPr>
              <w:t>We found our recalculations to be th</w:t>
            </w:r>
            <w:r w:rsidR="001F0975" w:rsidRPr="00C303C5">
              <w:rPr>
                <w:rFonts w:cs="Arial"/>
                <w:color w:val="000000"/>
              </w:rPr>
              <w:t>e same as the PTE’s calculations</w:t>
            </w:r>
          </w:p>
          <w:p w14:paraId="1D04F533" w14:textId="77777777" w:rsidR="00840CFD" w:rsidRPr="00C303C5" w:rsidRDefault="00840CFD" w:rsidP="00840CFD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1350" w:type="dxa"/>
          </w:tcPr>
          <w:p w14:paraId="40E88A3E" w14:textId="28A2C2F9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03C5">
              <w:rPr>
                <w:rFonts w:cs="Arial"/>
              </w:rPr>
              <w:t>None</w:t>
            </w:r>
          </w:p>
        </w:tc>
      </w:tr>
      <w:tr w:rsidR="00840CFD" w:rsidRPr="00C303C5" w14:paraId="4EB20AA0" w14:textId="42AC00FC" w:rsidTr="00C303C5">
        <w:tc>
          <w:tcPr>
            <w:tcW w:w="4395" w:type="dxa"/>
          </w:tcPr>
          <w:p w14:paraId="06F0607B" w14:textId="499661F8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</w:rPr>
              <w:t xml:space="preserve">We obtained </w:t>
            </w:r>
            <w:r w:rsidRPr="00C303C5">
              <w:rPr>
                <w:rFonts w:cs="Arial"/>
                <w:color w:val="000000" w:themeColor="text1"/>
              </w:rPr>
              <w:t xml:space="preserve">the </w:t>
            </w:r>
            <w:r w:rsidR="001F0975" w:rsidRPr="00C303C5">
              <w:rPr>
                <w:rFonts w:cs="Arial"/>
                <w:color w:val="000000" w:themeColor="text1"/>
              </w:rPr>
              <w:t xml:space="preserve">prudential financial standards </w:t>
            </w:r>
            <w:r w:rsidRPr="00C303C5">
              <w:rPr>
                <w:rFonts w:cs="Arial"/>
                <w:color w:val="000000" w:themeColor="text1"/>
              </w:rPr>
              <w:t xml:space="preserve">calculations </w:t>
            </w:r>
            <w:r w:rsidR="001F0975" w:rsidRPr="00C303C5">
              <w:rPr>
                <w:rFonts w:cs="Arial"/>
                <w:color w:val="000000" w:themeColor="text1"/>
              </w:rPr>
              <w:t xml:space="preserve">as at </w:t>
            </w:r>
            <w:r w:rsidRPr="00C303C5">
              <w:rPr>
                <w:rFonts w:cs="Arial"/>
                <w:color w:val="000000" w:themeColor="text1"/>
              </w:rPr>
              <w:t>31 De</w:t>
            </w:r>
            <w:r w:rsidR="001F0975" w:rsidRPr="00C303C5">
              <w:rPr>
                <w:rFonts w:cs="Arial"/>
                <w:color w:val="000000" w:themeColor="text1"/>
              </w:rPr>
              <w:t>cember 2016 prepared by the PTE</w:t>
            </w:r>
          </w:p>
        </w:tc>
        <w:tc>
          <w:tcPr>
            <w:tcW w:w="3502" w:type="dxa"/>
          </w:tcPr>
          <w:p w14:paraId="0FAF8F34" w14:textId="071E850E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03C5">
              <w:rPr>
                <w:rFonts w:cs="Arial"/>
              </w:rPr>
              <w:t>Obtained</w:t>
            </w:r>
          </w:p>
        </w:tc>
        <w:tc>
          <w:tcPr>
            <w:tcW w:w="1350" w:type="dxa"/>
          </w:tcPr>
          <w:p w14:paraId="5BAEA51A" w14:textId="77777777" w:rsidR="00840CFD" w:rsidRPr="00C303C5" w:rsidRDefault="00840CFD" w:rsidP="00840CFD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</w:p>
        </w:tc>
      </w:tr>
      <w:tr w:rsidR="00840CFD" w:rsidRPr="00C303C5" w14:paraId="1D25A1DF" w14:textId="3BD8EB6B" w:rsidTr="00C303C5">
        <w:tc>
          <w:tcPr>
            <w:tcW w:w="4395" w:type="dxa"/>
          </w:tcPr>
          <w:p w14:paraId="19D1B551" w14:textId="565F946F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</w:rPr>
              <w:t xml:space="preserve">We obtained </w:t>
            </w:r>
            <w:r w:rsidRPr="00C303C5">
              <w:rPr>
                <w:rFonts w:cs="Arial"/>
                <w:color w:val="000000" w:themeColor="text1"/>
              </w:rPr>
              <w:t>the prospective financial information as at 31 De</w:t>
            </w:r>
            <w:r w:rsidR="001F0975" w:rsidRPr="00C303C5">
              <w:rPr>
                <w:rFonts w:cs="Arial"/>
                <w:color w:val="000000" w:themeColor="text1"/>
              </w:rPr>
              <w:t>cember 2016 prepared by the PTE</w:t>
            </w:r>
          </w:p>
        </w:tc>
        <w:tc>
          <w:tcPr>
            <w:tcW w:w="3502" w:type="dxa"/>
          </w:tcPr>
          <w:p w14:paraId="11AC0F07" w14:textId="38E31F36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03C5">
              <w:rPr>
                <w:rFonts w:cs="Arial"/>
              </w:rPr>
              <w:t>Obtained</w:t>
            </w:r>
          </w:p>
        </w:tc>
        <w:tc>
          <w:tcPr>
            <w:tcW w:w="1350" w:type="dxa"/>
          </w:tcPr>
          <w:p w14:paraId="0BCC489B" w14:textId="77777777" w:rsidR="00840CFD" w:rsidRPr="00C303C5" w:rsidRDefault="00840CFD" w:rsidP="00840CFD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</w:p>
        </w:tc>
      </w:tr>
      <w:tr w:rsidR="00840CFD" w:rsidRPr="00C303C5" w14:paraId="1613275E" w14:textId="04EF86D0" w:rsidTr="00C303C5">
        <w:tc>
          <w:tcPr>
            <w:tcW w:w="4395" w:type="dxa"/>
          </w:tcPr>
          <w:p w14:paraId="04A05615" w14:textId="72B0F632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 xml:space="preserve">We checked that the prospective financial information as at 31 December 2016 </w:t>
            </w:r>
            <w:r w:rsidR="001F0975" w:rsidRPr="00C303C5">
              <w:rPr>
                <w:rFonts w:cs="Arial"/>
                <w:color w:val="000000" w:themeColor="text1"/>
              </w:rPr>
              <w:t>were</w:t>
            </w:r>
            <w:r w:rsidRPr="00C303C5">
              <w:rPr>
                <w:rFonts w:cs="Arial"/>
                <w:color w:val="000000" w:themeColor="text1"/>
              </w:rPr>
              <w:t xml:space="preserve"> appr</w:t>
            </w:r>
            <w:r w:rsidR="001F0975" w:rsidRPr="00C303C5">
              <w:rPr>
                <w:rFonts w:cs="Arial"/>
                <w:color w:val="000000" w:themeColor="text1"/>
              </w:rPr>
              <w:t>oved by the PTEs governing body</w:t>
            </w:r>
          </w:p>
        </w:tc>
        <w:tc>
          <w:tcPr>
            <w:tcW w:w="3502" w:type="dxa"/>
          </w:tcPr>
          <w:p w14:paraId="2F50BA47" w14:textId="3509FF5A" w:rsidR="00840CFD" w:rsidRPr="00C303C5" w:rsidRDefault="00840CFD" w:rsidP="001F0975">
            <w:pPr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 xml:space="preserve">We found the prospective financial information as at 31 December 2016 </w:t>
            </w:r>
            <w:r w:rsidR="001F0975" w:rsidRPr="00C303C5">
              <w:rPr>
                <w:rFonts w:cs="Arial"/>
                <w:color w:val="000000" w:themeColor="text1"/>
              </w:rPr>
              <w:t>were</w:t>
            </w:r>
            <w:r w:rsidRPr="00C303C5">
              <w:rPr>
                <w:rFonts w:cs="Arial"/>
                <w:color w:val="000000" w:themeColor="text1"/>
              </w:rPr>
              <w:t xml:space="preserve"> approved by the PTEs </w:t>
            </w:r>
            <w:r w:rsidRPr="00C303C5">
              <w:rPr>
                <w:rFonts w:cs="Arial"/>
                <w:color w:val="000000" w:themeColor="text1"/>
              </w:rPr>
              <w:lastRenderedPageBreak/>
              <w:t>governing body</w:t>
            </w:r>
          </w:p>
        </w:tc>
        <w:tc>
          <w:tcPr>
            <w:tcW w:w="1350" w:type="dxa"/>
          </w:tcPr>
          <w:p w14:paraId="7413943A" w14:textId="20443D27" w:rsidR="00840CFD" w:rsidRPr="00C303C5" w:rsidRDefault="00840CFD" w:rsidP="00840CFD">
            <w:pPr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lastRenderedPageBreak/>
              <w:t>None</w:t>
            </w:r>
          </w:p>
        </w:tc>
      </w:tr>
      <w:tr w:rsidR="00840CFD" w:rsidRPr="00C303C5" w14:paraId="6B72578E" w14:textId="54A0A000" w:rsidTr="00C303C5">
        <w:tc>
          <w:tcPr>
            <w:tcW w:w="4395" w:type="dxa"/>
          </w:tcPr>
          <w:p w14:paraId="498AC347" w14:textId="569E7B5D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lastRenderedPageBreak/>
              <w:t>We compared the accounting policies and management estimates used for the prospective financial information as at 31 December 2016 were the same as those used in the &lt;audited/reviewed&gt; financial st</w:t>
            </w:r>
            <w:r w:rsidR="001F0975" w:rsidRPr="00C303C5">
              <w:rPr>
                <w:rFonts w:cs="Arial"/>
                <w:color w:val="000000" w:themeColor="text1"/>
              </w:rPr>
              <w:t>atements as at 31 December 2015</w:t>
            </w:r>
          </w:p>
        </w:tc>
        <w:tc>
          <w:tcPr>
            <w:tcW w:w="3502" w:type="dxa"/>
          </w:tcPr>
          <w:p w14:paraId="214D59D3" w14:textId="276188D5" w:rsidR="00840CFD" w:rsidRPr="00C303C5" w:rsidRDefault="00840CFD" w:rsidP="00840CFD">
            <w:pPr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>We found the accounting policies and management estimates used for the prospective financial information as at 31 December 2016 were the same as those used in the &lt;audited/reviewed&gt; financial st</w:t>
            </w:r>
            <w:r w:rsidR="001F0975" w:rsidRPr="00C303C5">
              <w:rPr>
                <w:rFonts w:cs="Arial"/>
                <w:color w:val="000000" w:themeColor="text1"/>
              </w:rPr>
              <w:t>atements as at 31 December 2015</w:t>
            </w:r>
          </w:p>
        </w:tc>
        <w:tc>
          <w:tcPr>
            <w:tcW w:w="1350" w:type="dxa"/>
          </w:tcPr>
          <w:p w14:paraId="31271111" w14:textId="74EABEFB" w:rsidR="00840CFD" w:rsidRPr="00C303C5" w:rsidRDefault="00840CFD" w:rsidP="00840CFD">
            <w:pPr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>None</w:t>
            </w:r>
          </w:p>
        </w:tc>
      </w:tr>
      <w:tr w:rsidR="00840CFD" w:rsidRPr="00C303C5" w14:paraId="45A22727" w14:textId="3DBE33A8" w:rsidTr="00C303C5">
        <w:tc>
          <w:tcPr>
            <w:tcW w:w="4395" w:type="dxa"/>
          </w:tcPr>
          <w:p w14:paraId="03C8B3B0" w14:textId="2AAD2356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 xml:space="preserve">We compared the prospective financial information as at 31 December 2016 to the </w:t>
            </w:r>
            <w:r w:rsidR="001F0975" w:rsidRPr="00C303C5">
              <w:rPr>
                <w:rFonts w:cs="Arial"/>
                <w:color w:val="000000" w:themeColor="text1"/>
              </w:rPr>
              <w:t>assumptions set out by the PTE</w:t>
            </w:r>
          </w:p>
        </w:tc>
        <w:tc>
          <w:tcPr>
            <w:tcW w:w="3502" w:type="dxa"/>
          </w:tcPr>
          <w:p w14:paraId="5DB5A202" w14:textId="32A57E08" w:rsidR="00840CFD" w:rsidRPr="00C303C5" w:rsidRDefault="00840CFD" w:rsidP="001F0975">
            <w:pPr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>We found the PTE’s assumptions had been used to prepare t</w:t>
            </w:r>
            <w:r w:rsidR="001F0975" w:rsidRPr="00C303C5">
              <w:rPr>
                <w:rFonts w:cs="Arial"/>
                <w:color w:val="000000" w:themeColor="text1"/>
              </w:rPr>
              <w:t>he</w:t>
            </w:r>
            <w:r w:rsidRPr="00C303C5">
              <w:rPr>
                <w:rFonts w:cs="Arial"/>
                <w:color w:val="000000" w:themeColor="text1"/>
              </w:rPr>
              <w:t xml:space="preserve"> prospective financial information as at 31 December 2016</w:t>
            </w:r>
          </w:p>
        </w:tc>
        <w:tc>
          <w:tcPr>
            <w:tcW w:w="1350" w:type="dxa"/>
          </w:tcPr>
          <w:p w14:paraId="44D0949D" w14:textId="065F5663" w:rsidR="00840CFD" w:rsidRPr="00C303C5" w:rsidRDefault="00840CFD" w:rsidP="00840CFD">
            <w:pPr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  <w:color w:val="000000" w:themeColor="text1"/>
              </w:rPr>
              <w:t>None</w:t>
            </w:r>
          </w:p>
        </w:tc>
      </w:tr>
      <w:tr w:rsidR="00840CFD" w:rsidRPr="00C303C5" w14:paraId="0B5E69D7" w14:textId="28B76B35" w:rsidTr="00C303C5">
        <w:tc>
          <w:tcPr>
            <w:tcW w:w="4395" w:type="dxa"/>
          </w:tcPr>
          <w:p w14:paraId="4505D237" w14:textId="1F571F33" w:rsidR="00840CFD" w:rsidRPr="00C303C5" w:rsidRDefault="00840CFD" w:rsidP="001F09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37" w:hanging="237"/>
              <w:rPr>
                <w:rFonts w:cs="Arial"/>
                <w:color w:val="000000" w:themeColor="text1"/>
              </w:rPr>
            </w:pPr>
            <w:r w:rsidRPr="00C303C5">
              <w:rPr>
                <w:rFonts w:cs="Arial"/>
              </w:rPr>
              <w:t xml:space="preserve">We reperformed </w:t>
            </w:r>
            <w:r w:rsidRPr="00C303C5">
              <w:rPr>
                <w:rFonts w:cs="Arial"/>
                <w:color w:val="000000" w:themeColor="text1"/>
              </w:rPr>
              <w:t xml:space="preserve">the </w:t>
            </w:r>
            <w:r w:rsidR="001F0975" w:rsidRPr="00C303C5">
              <w:rPr>
                <w:rFonts w:cs="Arial"/>
                <w:color w:val="000000" w:themeColor="text1"/>
              </w:rPr>
              <w:t xml:space="preserve">prudential financial standards </w:t>
            </w:r>
            <w:r w:rsidRPr="00C303C5">
              <w:rPr>
                <w:rFonts w:cs="Arial"/>
                <w:color w:val="000000" w:themeColor="text1"/>
              </w:rPr>
              <w:t xml:space="preserve">calculations as at 31 December </w:t>
            </w:r>
            <w:r w:rsidR="001F0975" w:rsidRPr="00C303C5">
              <w:rPr>
                <w:rFonts w:cs="Arial"/>
                <w:color w:val="000000" w:themeColor="text1"/>
              </w:rPr>
              <w:t>2016</w:t>
            </w:r>
          </w:p>
        </w:tc>
        <w:tc>
          <w:tcPr>
            <w:tcW w:w="3502" w:type="dxa"/>
          </w:tcPr>
          <w:p w14:paraId="753D3C09" w14:textId="5CAC9E9C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303C5">
              <w:rPr>
                <w:rFonts w:cs="Arial"/>
                <w:color w:val="000000"/>
              </w:rPr>
              <w:t>We found our recalculations to be th</w:t>
            </w:r>
            <w:r w:rsidR="001F0975" w:rsidRPr="00C303C5">
              <w:rPr>
                <w:rFonts w:cs="Arial"/>
                <w:color w:val="000000"/>
              </w:rPr>
              <w:t>e same as the PTEs calculations</w:t>
            </w:r>
          </w:p>
        </w:tc>
        <w:tc>
          <w:tcPr>
            <w:tcW w:w="1350" w:type="dxa"/>
          </w:tcPr>
          <w:p w14:paraId="1F9891F8" w14:textId="1281C26C" w:rsidR="00840CFD" w:rsidRPr="00C303C5" w:rsidRDefault="00840CFD" w:rsidP="00840C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03C5">
              <w:rPr>
                <w:rFonts w:cs="Arial"/>
              </w:rPr>
              <w:t>None</w:t>
            </w:r>
          </w:p>
        </w:tc>
      </w:tr>
    </w:tbl>
    <w:p w14:paraId="0576E4A0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29AECBC" w14:textId="21621A4A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303C5">
        <w:rPr>
          <w:rFonts w:cs="Arial"/>
          <w:color w:val="000000"/>
        </w:rPr>
        <w:t xml:space="preserve">Because the above procedures do not constitute either an audit or a review, we do not express any assurance on the </w:t>
      </w:r>
      <w:r w:rsidR="0019742F" w:rsidRPr="00C303C5">
        <w:rPr>
          <w:rFonts w:cs="Arial"/>
          <w:color w:val="000000"/>
        </w:rPr>
        <w:t>p</w:t>
      </w:r>
      <w:r w:rsidR="00AC35BD" w:rsidRPr="00C303C5">
        <w:rPr>
          <w:rFonts w:cs="Arial"/>
          <w:color w:val="000000"/>
        </w:rPr>
        <w:t xml:space="preserve">rudential </w:t>
      </w:r>
      <w:r w:rsidR="0019742F" w:rsidRPr="00C303C5">
        <w:rPr>
          <w:rFonts w:cs="Arial"/>
          <w:color w:val="000000"/>
        </w:rPr>
        <w:t>f</w:t>
      </w:r>
      <w:r w:rsidR="00AC35BD" w:rsidRPr="00C303C5">
        <w:rPr>
          <w:rFonts w:cs="Arial"/>
          <w:color w:val="000000"/>
        </w:rPr>
        <w:t xml:space="preserve">inancial </w:t>
      </w:r>
      <w:r w:rsidR="0019742F" w:rsidRPr="00C303C5">
        <w:rPr>
          <w:rFonts w:cs="Arial"/>
          <w:color w:val="000000"/>
        </w:rPr>
        <w:t>s</w:t>
      </w:r>
      <w:r w:rsidR="00AC35BD" w:rsidRPr="00C303C5">
        <w:rPr>
          <w:rFonts w:cs="Arial"/>
          <w:color w:val="000000"/>
        </w:rPr>
        <w:t>tandards calculations</w:t>
      </w:r>
      <w:r w:rsidRPr="00C303C5">
        <w:rPr>
          <w:rFonts w:cs="Arial"/>
          <w:color w:val="000000"/>
        </w:rPr>
        <w:t xml:space="preserve"> as of </w:t>
      </w:r>
      <w:r w:rsidR="00AC35BD" w:rsidRPr="00C303C5">
        <w:rPr>
          <w:rFonts w:cs="Arial"/>
          <w:color w:val="000000"/>
        </w:rPr>
        <w:t>31 December 2015 or 31 December 2016.</w:t>
      </w:r>
      <w:r w:rsidR="00A70B44" w:rsidRPr="00C303C5">
        <w:rPr>
          <w:rFonts w:cs="Arial"/>
          <w:color w:val="000000"/>
        </w:rPr>
        <w:t xml:space="preserve"> </w:t>
      </w:r>
    </w:p>
    <w:p w14:paraId="7C78BE29" w14:textId="77777777" w:rsidR="00B52E74" w:rsidRPr="00C303C5" w:rsidRDefault="00B52E74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F24313E" w14:textId="03EAC77C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03C5">
        <w:rPr>
          <w:rFonts w:cs="Arial"/>
          <w:color w:val="000000"/>
        </w:rPr>
        <w:t>Our report is solely for your information</w:t>
      </w:r>
      <w:r w:rsidR="009C0EC4" w:rsidRPr="00C303C5">
        <w:rPr>
          <w:rFonts w:cs="Arial"/>
          <w:color w:val="000000"/>
        </w:rPr>
        <w:t>,</w:t>
      </w:r>
      <w:r w:rsidRPr="00C303C5">
        <w:rPr>
          <w:rFonts w:cs="Arial"/>
          <w:color w:val="000000"/>
        </w:rPr>
        <w:t xml:space="preserve"> and is</w:t>
      </w:r>
      <w:r w:rsidR="00AC35BD" w:rsidRPr="00C303C5">
        <w:rPr>
          <w:rFonts w:cs="Arial"/>
          <w:color w:val="000000"/>
        </w:rPr>
        <w:t xml:space="preserve"> intended to be used by the </w:t>
      </w:r>
      <w:r w:rsidR="0019742F" w:rsidRPr="00C303C5">
        <w:rPr>
          <w:rFonts w:cs="Arial"/>
        </w:rPr>
        <w:t>TEC</w:t>
      </w:r>
      <w:r w:rsidR="00AC35BD" w:rsidRPr="00C303C5">
        <w:rPr>
          <w:rFonts w:cs="Arial"/>
        </w:rPr>
        <w:t>, but is</w:t>
      </w:r>
      <w:r w:rsidRPr="00C303C5">
        <w:rPr>
          <w:rFonts w:cs="Arial"/>
          <w:color w:val="000000"/>
        </w:rPr>
        <w:t xml:space="preserve"> not to be used for any other purpose. This report relates only to the items specified above and does not extend to any financial</w:t>
      </w:r>
      <w:r w:rsidR="00A70B44" w:rsidRPr="00C303C5">
        <w:rPr>
          <w:rFonts w:cs="Arial"/>
          <w:color w:val="000000"/>
        </w:rPr>
        <w:t xml:space="preserve"> statements</w:t>
      </w:r>
      <w:r w:rsidRPr="00C303C5">
        <w:rPr>
          <w:rFonts w:cs="Arial"/>
          <w:color w:val="000000"/>
        </w:rPr>
        <w:t xml:space="preserve"> of </w:t>
      </w:r>
      <w:r w:rsidR="009C0EC4" w:rsidRPr="00C303C5">
        <w:rPr>
          <w:rFonts w:cs="Arial"/>
          <w:color w:val="000000"/>
        </w:rPr>
        <w:t xml:space="preserve">PTE </w:t>
      </w:r>
      <w:r w:rsidRPr="00C303C5">
        <w:rPr>
          <w:rFonts w:cs="Arial"/>
          <w:color w:val="000000"/>
        </w:rPr>
        <w:t>Company</w:t>
      </w:r>
      <w:r w:rsidR="009C0EC4" w:rsidRPr="00C303C5">
        <w:rPr>
          <w:rFonts w:cs="Arial"/>
          <w:color w:val="000000"/>
        </w:rPr>
        <w:t xml:space="preserve"> Ltd</w:t>
      </w:r>
      <w:r w:rsidRPr="00C303C5">
        <w:rPr>
          <w:rFonts w:cs="Arial"/>
          <w:color w:val="000000"/>
        </w:rPr>
        <w:t xml:space="preserve">. </w:t>
      </w:r>
    </w:p>
    <w:p w14:paraId="6A81E539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1443A369" w14:textId="77777777" w:rsidR="009C0EC4" w:rsidRPr="00C303C5" w:rsidRDefault="009C0EC4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1E0B59C" w14:textId="77777777" w:rsidR="007610D9" w:rsidRPr="00C303C5" w:rsidRDefault="009C0EC4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303C5">
        <w:rPr>
          <w:rFonts w:cs="Arial"/>
          <w:color w:val="000000"/>
        </w:rPr>
        <w:t>&lt;</w:t>
      </w:r>
      <w:r w:rsidR="007610D9" w:rsidRPr="00C303C5">
        <w:rPr>
          <w:rFonts w:cs="Arial"/>
          <w:color w:val="000000"/>
        </w:rPr>
        <w:t>Signature</w:t>
      </w:r>
      <w:r w:rsidRPr="00C303C5">
        <w:rPr>
          <w:rFonts w:cs="Arial"/>
          <w:color w:val="000000"/>
        </w:rPr>
        <w:t>&gt;</w:t>
      </w:r>
    </w:p>
    <w:p w14:paraId="24A3D992" w14:textId="77777777" w:rsidR="009C0EC4" w:rsidRPr="00C303C5" w:rsidRDefault="009C0EC4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303C5">
        <w:rPr>
          <w:rFonts w:cs="Arial"/>
          <w:color w:val="000000"/>
        </w:rPr>
        <w:t>…………………………..</w:t>
      </w:r>
    </w:p>
    <w:p w14:paraId="3CDE7CD9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E687443" w14:textId="77777777" w:rsidR="007610D9" w:rsidRPr="00C303C5" w:rsidRDefault="009C0EC4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303C5">
        <w:rPr>
          <w:rFonts w:cs="Arial"/>
          <w:color w:val="000000"/>
        </w:rPr>
        <w:t>&lt;Date&gt;</w:t>
      </w:r>
    </w:p>
    <w:p w14:paraId="4841099A" w14:textId="77777777" w:rsidR="007610D9" w:rsidRPr="00C303C5" w:rsidRDefault="007610D9" w:rsidP="007610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21A3BEE" w14:textId="77777777" w:rsidR="007610D9" w:rsidRPr="00C303C5" w:rsidRDefault="009C0EC4" w:rsidP="007610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03C5">
        <w:rPr>
          <w:rFonts w:cs="Arial"/>
          <w:color w:val="000000"/>
        </w:rPr>
        <w:t>&lt;</w:t>
      </w:r>
      <w:r w:rsidR="007610D9" w:rsidRPr="00C303C5">
        <w:rPr>
          <w:rFonts w:cs="Arial"/>
          <w:color w:val="000000"/>
        </w:rPr>
        <w:t xml:space="preserve">Address </w:t>
      </w:r>
      <w:r w:rsidRPr="00C303C5">
        <w:rPr>
          <w:rFonts w:cs="Arial"/>
          <w:color w:val="000000"/>
        </w:rPr>
        <w:t>&gt;</w:t>
      </w:r>
    </w:p>
    <w:p w14:paraId="4379CAEA" w14:textId="77777777" w:rsidR="007610D9" w:rsidRPr="00C303C5" w:rsidRDefault="007610D9" w:rsidP="00DA35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03C5">
        <w:rPr>
          <w:rFonts w:cs="Arial"/>
          <w:color w:val="000000"/>
        </w:rPr>
        <w:t xml:space="preserve">                                                      </w:t>
      </w:r>
    </w:p>
    <w:p w14:paraId="326A485B" w14:textId="77777777" w:rsidR="007610D9" w:rsidRPr="00C303C5" w:rsidRDefault="007610D9" w:rsidP="00DA356D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</w:p>
    <w:p w14:paraId="32669144" w14:textId="77777777" w:rsidR="00DA356D" w:rsidRPr="00C303C5" w:rsidRDefault="00DA356D">
      <w:pPr>
        <w:rPr>
          <w:rFonts w:cs="Arial"/>
          <w:b/>
          <w:color w:val="000000" w:themeColor="text1"/>
        </w:rPr>
      </w:pPr>
      <w:r w:rsidRPr="00C303C5">
        <w:rPr>
          <w:rFonts w:cs="Arial"/>
          <w:b/>
          <w:color w:val="000000" w:themeColor="text1"/>
        </w:rPr>
        <w:br w:type="page"/>
      </w:r>
    </w:p>
    <w:p w14:paraId="23DFBF1D" w14:textId="77777777" w:rsidR="00DA356D" w:rsidRPr="00C303C5" w:rsidRDefault="00DA356D" w:rsidP="00DA356D">
      <w:pPr>
        <w:spacing w:after="0" w:line="240" w:lineRule="auto"/>
        <w:rPr>
          <w:rFonts w:cs="Arial"/>
          <w:b/>
          <w:color w:val="000000" w:themeColor="text1"/>
        </w:rPr>
      </w:pPr>
      <w:r w:rsidRPr="00C303C5">
        <w:rPr>
          <w:rFonts w:cs="Arial"/>
          <w:b/>
          <w:color w:val="000000" w:themeColor="text1"/>
        </w:rPr>
        <w:lastRenderedPageBreak/>
        <w:t>Schedule</w:t>
      </w:r>
    </w:p>
    <w:p w14:paraId="59B3741B" w14:textId="77777777" w:rsidR="00DA356D" w:rsidRPr="00C303C5" w:rsidRDefault="00DA356D" w:rsidP="00DA356D">
      <w:pPr>
        <w:spacing w:after="0" w:line="240" w:lineRule="auto"/>
        <w:rPr>
          <w:rFonts w:cs="Arial"/>
          <w:b/>
          <w:color w:val="000000" w:themeColor="text1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417"/>
        <w:gridCol w:w="1843"/>
        <w:gridCol w:w="1984"/>
      </w:tblGrid>
      <w:tr w:rsidR="00DE2368" w:rsidRPr="00C303C5" w14:paraId="2033B46C" w14:textId="77777777" w:rsidTr="00DE2368">
        <w:trPr>
          <w:trHeight w:val="567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0EF7" w14:textId="77777777" w:rsidR="00DE2368" w:rsidRPr="00C303C5" w:rsidRDefault="00DE2368" w:rsidP="005C2A4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303C5">
              <w:rPr>
                <w:rFonts w:cs="Arial"/>
                <w:b/>
                <w:bCs/>
              </w:rPr>
              <w:t>Ratio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0DCB" w14:textId="77777777" w:rsidR="00DE2368" w:rsidRPr="00C303C5" w:rsidRDefault="00DE2368" w:rsidP="005C2A4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303C5">
              <w:rPr>
                <w:rFonts w:cs="Arial"/>
                <w:b/>
                <w:bCs/>
              </w:rPr>
              <w:t xml:space="preserve">TEC </w:t>
            </w:r>
          </w:p>
          <w:p w14:paraId="49270C72" w14:textId="77777777" w:rsidR="00DE2368" w:rsidRPr="00C303C5" w:rsidRDefault="00DE2368" w:rsidP="005C2A4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303C5">
              <w:rPr>
                <w:rFonts w:cs="Arial"/>
                <w:b/>
                <w:bCs/>
              </w:rPr>
              <w:t>benchmark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5A3C" w14:textId="7709A248" w:rsidR="00DE2368" w:rsidRPr="00C303C5" w:rsidRDefault="00DE2368" w:rsidP="005C2A4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303C5">
              <w:rPr>
                <w:rFonts w:cs="Arial"/>
                <w:b/>
                <w:color w:val="000000"/>
              </w:rPr>
              <w:t xml:space="preserve">Prudential </w:t>
            </w:r>
            <w:r w:rsidR="005C2A4B" w:rsidRPr="00C303C5">
              <w:rPr>
                <w:rFonts w:cs="Arial"/>
                <w:b/>
                <w:color w:val="000000"/>
              </w:rPr>
              <w:t>f</w:t>
            </w:r>
            <w:r w:rsidRPr="00C303C5">
              <w:rPr>
                <w:rFonts w:cs="Arial"/>
                <w:b/>
                <w:color w:val="000000"/>
              </w:rPr>
              <w:t xml:space="preserve">inancial </w:t>
            </w:r>
            <w:r w:rsidR="005C2A4B" w:rsidRPr="00C303C5">
              <w:rPr>
                <w:rFonts w:cs="Arial"/>
                <w:b/>
                <w:color w:val="000000"/>
              </w:rPr>
              <w:t>s</w:t>
            </w:r>
            <w:r w:rsidRPr="00C303C5">
              <w:rPr>
                <w:rFonts w:cs="Arial"/>
                <w:b/>
                <w:color w:val="000000"/>
              </w:rPr>
              <w:t>tandards calculations</w:t>
            </w:r>
          </w:p>
        </w:tc>
      </w:tr>
      <w:tr w:rsidR="00DE2368" w:rsidRPr="00C303C5" w14:paraId="5BD5DE81" w14:textId="77777777" w:rsidTr="00DE2368">
        <w:trPr>
          <w:trHeight w:val="567"/>
        </w:trPr>
        <w:tc>
          <w:tcPr>
            <w:tcW w:w="3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5A30" w14:textId="77777777" w:rsidR="00DE2368" w:rsidRPr="00C303C5" w:rsidRDefault="00DE2368" w:rsidP="005C2A4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E42B" w14:textId="77777777" w:rsidR="00DE2368" w:rsidRPr="00C303C5" w:rsidRDefault="00DE2368" w:rsidP="005C2A4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FB80" w14:textId="1313297E" w:rsidR="00DE2368" w:rsidRPr="00C303C5" w:rsidRDefault="00DE2368" w:rsidP="005C2A4B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C303C5">
              <w:rPr>
                <w:rFonts w:cs="Arial"/>
                <w:b/>
                <w:bCs/>
              </w:rPr>
              <w:t>31/12/15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019E" w14:textId="612B8B8E" w:rsidR="00DE2368" w:rsidRPr="00C303C5" w:rsidRDefault="00DE2368" w:rsidP="005C2A4B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C303C5">
              <w:rPr>
                <w:rFonts w:cs="Arial"/>
                <w:b/>
                <w:bCs/>
              </w:rPr>
              <w:t>31/12/16</w:t>
            </w:r>
          </w:p>
        </w:tc>
      </w:tr>
      <w:tr w:rsidR="00DA356D" w:rsidRPr="00C303C5" w14:paraId="795897D6" w14:textId="77777777" w:rsidTr="00C916ED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E3C4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  <w:u w:val="single"/>
              </w:rPr>
            </w:pPr>
            <w:r w:rsidRPr="00C303C5">
              <w:rPr>
                <w:rFonts w:cs="Arial"/>
                <w:u w:val="single"/>
              </w:rPr>
              <w:t>Net tangible assets</w:t>
            </w:r>
          </w:p>
          <w:p w14:paraId="60BF9511" w14:textId="77777777" w:rsidR="00DA356D" w:rsidRPr="00C303C5" w:rsidRDefault="00437837" w:rsidP="00437837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C303C5">
              <w:rPr>
                <w:rFonts w:cs="Arial"/>
              </w:rPr>
              <w:t>R</w:t>
            </w:r>
            <w:r w:rsidR="00DA356D" w:rsidRPr="00C303C5">
              <w:rPr>
                <w:rFonts w:cs="Arial"/>
              </w:rPr>
              <w:t>evenue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963A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303C5">
              <w:rPr>
                <w:rFonts w:cs="Arial"/>
              </w:rPr>
              <w:t>&gt;2%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FBDF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7AD1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  <w:tr w:rsidR="00DA356D" w:rsidRPr="00C303C5" w14:paraId="152958B6" w14:textId="77777777" w:rsidTr="00C916ED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ECF2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  <w:u w:val="single"/>
              </w:rPr>
            </w:pPr>
            <w:r w:rsidRPr="00C303C5">
              <w:rPr>
                <w:rFonts w:cs="Arial"/>
                <w:u w:val="single"/>
              </w:rPr>
              <w:t>Liquid assets</w:t>
            </w:r>
          </w:p>
          <w:p w14:paraId="021FD1AA" w14:textId="77777777" w:rsidR="00DA356D" w:rsidRPr="00C303C5" w:rsidRDefault="00437837" w:rsidP="00437837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C303C5">
              <w:rPr>
                <w:rFonts w:eastAsia="Arial" w:cs="Arial"/>
                <w:spacing w:val="-3"/>
              </w:rPr>
              <w:t>C</w:t>
            </w:r>
            <w:r w:rsidR="00DA356D" w:rsidRPr="00C303C5">
              <w:rPr>
                <w:rFonts w:eastAsia="Arial" w:cs="Arial"/>
              </w:rPr>
              <w:t>a</w:t>
            </w:r>
            <w:r w:rsidR="00DA356D" w:rsidRPr="00C303C5">
              <w:rPr>
                <w:rFonts w:eastAsia="Arial" w:cs="Arial"/>
                <w:spacing w:val="-2"/>
              </w:rPr>
              <w:t>s</w:t>
            </w:r>
            <w:r w:rsidR="00DA356D" w:rsidRPr="00C303C5">
              <w:rPr>
                <w:rFonts w:eastAsia="Arial" w:cs="Arial"/>
              </w:rPr>
              <w:t>h</w:t>
            </w:r>
            <w:r w:rsidR="00DA356D" w:rsidRPr="00C303C5">
              <w:rPr>
                <w:rFonts w:eastAsia="Arial" w:cs="Arial"/>
                <w:spacing w:val="1"/>
              </w:rPr>
              <w:t xml:space="preserve"> </w:t>
            </w:r>
            <w:r w:rsidR="00DA356D" w:rsidRPr="00C303C5">
              <w:rPr>
                <w:rFonts w:eastAsia="Arial" w:cs="Arial"/>
              </w:rPr>
              <w:t>ou</w:t>
            </w:r>
            <w:r w:rsidR="00DA356D" w:rsidRPr="00C303C5">
              <w:rPr>
                <w:rFonts w:eastAsia="Arial" w:cs="Arial"/>
                <w:spacing w:val="-1"/>
              </w:rPr>
              <w:t>t</w:t>
            </w:r>
            <w:r w:rsidR="00DA356D" w:rsidRPr="00C303C5">
              <w:rPr>
                <w:rFonts w:eastAsia="Arial" w:cs="Arial"/>
                <w:spacing w:val="3"/>
              </w:rPr>
              <w:t>f</w:t>
            </w:r>
            <w:r w:rsidR="00DA356D" w:rsidRPr="00C303C5">
              <w:rPr>
                <w:rFonts w:eastAsia="Arial" w:cs="Arial"/>
                <w:spacing w:val="-1"/>
              </w:rPr>
              <w:t>l</w:t>
            </w:r>
            <w:r w:rsidR="00DA356D" w:rsidRPr="00C303C5">
              <w:rPr>
                <w:rFonts w:eastAsia="Arial" w:cs="Arial"/>
              </w:rPr>
              <w:t xml:space="preserve">ow </w:t>
            </w:r>
            <w:r w:rsidR="00DA356D" w:rsidRPr="00C303C5">
              <w:rPr>
                <w:rFonts w:eastAsia="Arial" w:cs="Arial"/>
                <w:spacing w:val="1"/>
              </w:rPr>
              <w:t>fr</w:t>
            </w:r>
            <w:r w:rsidR="00DA356D" w:rsidRPr="00C303C5">
              <w:rPr>
                <w:rFonts w:eastAsia="Arial" w:cs="Arial"/>
                <w:spacing w:val="-3"/>
              </w:rPr>
              <w:t>o</w:t>
            </w:r>
            <w:r w:rsidR="00DA356D" w:rsidRPr="00C303C5">
              <w:rPr>
                <w:rFonts w:eastAsia="Arial" w:cs="Arial"/>
              </w:rPr>
              <w:t>m</w:t>
            </w:r>
            <w:r w:rsidR="00DA356D" w:rsidRPr="00C303C5">
              <w:rPr>
                <w:rFonts w:eastAsia="Arial" w:cs="Arial"/>
                <w:spacing w:val="2"/>
              </w:rPr>
              <w:t xml:space="preserve"> </w:t>
            </w:r>
            <w:r w:rsidR="00DA356D" w:rsidRPr="00C303C5">
              <w:rPr>
                <w:rFonts w:eastAsia="Arial" w:cs="Arial"/>
              </w:rPr>
              <w:t>op</w:t>
            </w:r>
            <w:r w:rsidR="00DA356D" w:rsidRPr="00C303C5">
              <w:rPr>
                <w:rFonts w:eastAsia="Arial" w:cs="Arial"/>
                <w:spacing w:val="-3"/>
              </w:rPr>
              <w:t>e</w:t>
            </w:r>
            <w:r w:rsidR="00DA356D" w:rsidRPr="00C303C5">
              <w:rPr>
                <w:rFonts w:eastAsia="Arial" w:cs="Arial"/>
                <w:spacing w:val="1"/>
              </w:rPr>
              <w:t>r</w:t>
            </w:r>
            <w:r w:rsidR="00DA356D" w:rsidRPr="00C303C5">
              <w:rPr>
                <w:rFonts w:eastAsia="Arial" w:cs="Arial"/>
              </w:rPr>
              <w:t>a</w:t>
            </w:r>
            <w:r w:rsidR="00DA356D" w:rsidRPr="00C303C5">
              <w:rPr>
                <w:rFonts w:eastAsia="Arial" w:cs="Arial"/>
                <w:spacing w:val="1"/>
              </w:rPr>
              <w:t>t</w:t>
            </w:r>
            <w:r w:rsidR="00DA356D" w:rsidRPr="00C303C5">
              <w:rPr>
                <w:rFonts w:eastAsia="Arial" w:cs="Arial"/>
                <w:spacing w:val="-1"/>
              </w:rPr>
              <w:t>i</w:t>
            </w:r>
            <w:r w:rsidR="00DA356D" w:rsidRPr="00C303C5">
              <w:rPr>
                <w:rFonts w:eastAsia="Arial" w:cs="Arial"/>
              </w:rPr>
              <w:t>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20C1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303C5">
              <w:rPr>
                <w:rFonts w:cs="Arial"/>
              </w:rPr>
              <w:t>&gt;5%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5638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8579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  <w:tr w:rsidR="00DA356D" w:rsidRPr="00C303C5" w14:paraId="33266078" w14:textId="77777777" w:rsidTr="00C916ED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0B37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  <w:u w:val="single"/>
              </w:rPr>
            </w:pPr>
            <w:r w:rsidRPr="00C303C5">
              <w:rPr>
                <w:rFonts w:cs="Arial"/>
                <w:u w:val="single"/>
              </w:rPr>
              <w:t>Current assets</w:t>
            </w:r>
          </w:p>
          <w:p w14:paraId="36E439A9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C303C5">
              <w:rPr>
                <w:rFonts w:cs="Arial"/>
              </w:rPr>
              <w:t>Current liabilities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EBD2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303C5">
              <w:rPr>
                <w:rFonts w:cs="Arial"/>
              </w:rPr>
              <w:t>&gt;75%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D8EA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6C23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  <w:tr w:rsidR="00DA356D" w:rsidRPr="00C303C5" w14:paraId="56EE02AC" w14:textId="77777777" w:rsidTr="00C916ED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FA8B1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  <w:u w:val="single"/>
              </w:rPr>
            </w:pPr>
            <w:r w:rsidRPr="00C303C5">
              <w:rPr>
                <w:rFonts w:cs="Arial"/>
                <w:u w:val="single"/>
              </w:rPr>
              <w:t>Net surplus after tax</w:t>
            </w:r>
          </w:p>
          <w:p w14:paraId="25078AFC" w14:textId="77777777" w:rsidR="00DA356D" w:rsidRPr="00C303C5" w:rsidRDefault="00437837" w:rsidP="00437837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C303C5">
              <w:rPr>
                <w:rFonts w:cs="Arial"/>
              </w:rPr>
              <w:t>R</w:t>
            </w:r>
            <w:r w:rsidR="00DA356D" w:rsidRPr="00C303C5">
              <w:rPr>
                <w:rFonts w:cs="Arial"/>
              </w:rPr>
              <w:t>evenue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A29D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303C5">
              <w:rPr>
                <w:rFonts w:cs="Arial"/>
              </w:rPr>
              <w:t>&gt;3%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3C4D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1297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  <w:tr w:rsidR="00DA356D" w:rsidRPr="00C303C5" w14:paraId="5A2BD975" w14:textId="77777777" w:rsidTr="00C916ED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5D5" w14:textId="77777777" w:rsidR="00DA5C41" w:rsidRPr="00C303C5" w:rsidRDefault="00437837" w:rsidP="00DA5C41">
            <w:pPr>
              <w:pStyle w:val="ListParagraph"/>
              <w:spacing w:after="0" w:line="240" w:lineRule="auto"/>
              <w:ind w:left="0"/>
              <w:rPr>
                <w:rFonts w:eastAsia="Arial" w:cs="Arial"/>
                <w:u w:val="single"/>
              </w:rPr>
            </w:pPr>
            <w:r w:rsidRPr="00C303C5">
              <w:rPr>
                <w:rFonts w:eastAsia="Arial" w:cs="Arial"/>
                <w:u w:val="single"/>
              </w:rPr>
              <w:t>C</w:t>
            </w:r>
            <w:r w:rsidR="00DA356D" w:rsidRPr="00C303C5">
              <w:rPr>
                <w:rFonts w:eastAsia="Arial" w:cs="Arial"/>
                <w:u w:val="single"/>
              </w:rPr>
              <w:t xml:space="preserve">ash </w:t>
            </w:r>
            <w:r w:rsidR="00DA356D" w:rsidRPr="00C303C5">
              <w:rPr>
                <w:rFonts w:eastAsia="Arial" w:cs="Arial"/>
                <w:spacing w:val="-1"/>
                <w:u w:val="single"/>
              </w:rPr>
              <w:t>i</w:t>
            </w:r>
            <w:r w:rsidR="00DA356D" w:rsidRPr="00C303C5">
              <w:rPr>
                <w:rFonts w:eastAsia="Arial" w:cs="Arial"/>
                <w:u w:val="single"/>
              </w:rPr>
              <w:t>n</w:t>
            </w:r>
            <w:r w:rsidR="00DA356D" w:rsidRPr="00C303C5">
              <w:rPr>
                <w:rFonts w:eastAsia="Arial" w:cs="Arial"/>
                <w:spacing w:val="3"/>
                <w:u w:val="single"/>
              </w:rPr>
              <w:t>f</w:t>
            </w:r>
            <w:r w:rsidR="00DA356D" w:rsidRPr="00C303C5">
              <w:rPr>
                <w:rFonts w:eastAsia="Arial" w:cs="Arial"/>
                <w:spacing w:val="-1"/>
                <w:u w:val="single"/>
              </w:rPr>
              <w:t>l</w:t>
            </w:r>
            <w:r w:rsidR="00DA356D" w:rsidRPr="00C303C5">
              <w:rPr>
                <w:rFonts w:eastAsia="Arial" w:cs="Arial"/>
                <w:u w:val="single"/>
              </w:rPr>
              <w:t>ow</w:t>
            </w:r>
            <w:r w:rsidR="00DA356D" w:rsidRPr="00C303C5">
              <w:rPr>
                <w:rFonts w:eastAsia="Arial" w:cs="Arial"/>
                <w:spacing w:val="-4"/>
                <w:u w:val="single"/>
              </w:rPr>
              <w:t xml:space="preserve"> </w:t>
            </w:r>
            <w:r w:rsidR="00DA356D" w:rsidRPr="00C303C5">
              <w:rPr>
                <w:rFonts w:eastAsia="Arial" w:cs="Arial"/>
                <w:spacing w:val="3"/>
                <w:u w:val="single"/>
              </w:rPr>
              <w:t>f</w:t>
            </w:r>
            <w:r w:rsidR="00DA356D" w:rsidRPr="00C303C5">
              <w:rPr>
                <w:rFonts w:eastAsia="Arial" w:cs="Arial"/>
                <w:spacing w:val="1"/>
                <w:u w:val="single"/>
              </w:rPr>
              <w:t>r</w:t>
            </w:r>
            <w:r w:rsidR="00DA356D" w:rsidRPr="00C303C5">
              <w:rPr>
                <w:rFonts w:eastAsia="Arial" w:cs="Arial"/>
                <w:spacing w:val="-3"/>
                <w:u w:val="single"/>
              </w:rPr>
              <w:t>o</w:t>
            </w:r>
            <w:r w:rsidR="00DA356D" w:rsidRPr="00C303C5">
              <w:rPr>
                <w:rFonts w:eastAsia="Arial" w:cs="Arial"/>
                <w:u w:val="single"/>
              </w:rPr>
              <w:t>m ope</w:t>
            </w:r>
            <w:r w:rsidR="00DA356D" w:rsidRPr="00C303C5">
              <w:rPr>
                <w:rFonts w:eastAsia="Arial" w:cs="Arial"/>
                <w:spacing w:val="1"/>
                <w:u w:val="single"/>
              </w:rPr>
              <w:t>r</w:t>
            </w:r>
            <w:r w:rsidR="00DA356D" w:rsidRPr="00C303C5">
              <w:rPr>
                <w:rFonts w:eastAsia="Arial" w:cs="Arial"/>
                <w:u w:val="single"/>
              </w:rPr>
              <w:t>a</w:t>
            </w:r>
            <w:r w:rsidR="00DA356D" w:rsidRPr="00C303C5">
              <w:rPr>
                <w:rFonts w:eastAsia="Arial" w:cs="Arial"/>
                <w:spacing w:val="1"/>
                <w:u w:val="single"/>
              </w:rPr>
              <w:t>t</w:t>
            </w:r>
            <w:r w:rsidR="00DA356D" w:rsidRPr="00C303C5">
              <w:rPr>
                <w:rFonts w:eastAsia="Arial" w:cs="Arial"/>
                <w:spacing w:val="-1"/>
                <w:u w:val="single"/>
              </w:rPr>
              <w:t>i</w:t>
            </w:r>
            <w:r w:rsidR="00DA356D" w:rsidRPr="00C303C5">
              <w:rPr>
                <w:rFonts w:eastAsia="Arial" w:cs="Arial"/>
                <w:u w:val="single"/>
              </w:rPr>
              <w:t>ons</w:t>
            </w:r>
          </w:p>
          <w:p w14:paraId="298E7B96" w14:textId="77777777" w:rsidR="00DA356D" w:rsidRPr="00C303C5" w:rsidRDefault="00DA5C41" w:rsidP="00DA5C41">
            <w:pPr>
              <w:pStyle w:val="ListParagraph"/>
              <w:spacing w:after="0" w:line="240" w:lineRule="auto"/>
              <w:ind w:left="0"/>
              <w:rPr>
                <w:rFonts w:eastAsia="Arial" w:cs="Arial"/>
                <w:spacing w:val="2"/>
              </w:rPr>
            </w:pPr>
            <w:r w:rsidRPr="00C303C5">
              <w:rPr>
                <w:rFonts w:eastAsia="Arial" w:cs="Arial"/>
              </w:rPr>
              <w:t>C</w:t>
            </w:r>
            <w:r w:rsidR="00DA356D" w:rsidRPr="00C303C5">
              <w:rPr>
                <w:rFonts w:eastAsia="Arial" w:cs="Arial"/>
              </w:rPr>
              <w:t>a</w:t>
            </w:r>
            <w:r w:rsidR="00DA356D" w:rsidRPr="00C303C5">
              <w:rPr>
                <w:rFonts w:eastAsia="Arial" w:cs="Arial"/>
                <w:spacing w:val="-2"/>
              </w:rPr>
              <w:t>s</w:t>
            </w:r>
            <w:r w:rsidR="00DA356D" w:rsidRPr="00C303C5">
              <w:rPr>
                <w:rFonts w:eastAsia="Arial" w:cs="Arial"/>
              </w:rPr>
              <w:t>h</w:t>
            </w:r>
            <w:r w:rsidR="00DA356D" w:rsidRPr="00C303C5">
              <w:rPr>
                <w:rFonts w:eastAsia="Arial" w:cs="Arial"/>
                <w:spacing w:val="1"/>
              </w:rPr>
              <w:t xml:space="preserve"> </w:t>
            </w:r>
            <w:r w:rsidR="00DA356D" w:rsidRPr="00C303C5">
              <w:rPr>
                <w:rFonts w:eastAsia="Arial" w:cs="Arial"/>
              </w:rPr>
              <w:t>ou</w:t>
            </w:r>
            <w:r w:rsidR="00DA356D" w:rsidRPr="00C303C5">
              <w:rPr>
                <w:rFonts w:eastAsia="Arial" w:cs="Arial"/>
                <w:spacing w:val="-1"/>
              </w:rPr>
              <w:t>t</w:t>
            </w:r>
            <w:r w:rsidR="00DA356D" w:rsidRPr="00C303C5">
              <w:rPr>
                <w:rFonts w:eastAsia="Arial" w:cs="Arial"/>
                <w:spacing w:val="3"/>
              </w:rPr>
              <w:t>f</w:t>
            </w:r>
            <w:r w:rsidR="00DA356D" w:rsidRPr="00C303C5">
              <w:rPr>
                <w:rFonts w:eastAsia="Arial" w:cs="Arial"/>
                <w:spacing w:val="-1"/>
              </w:rPr>
              <w:t>l</w:t>
            </w:r>
            <w:r w:rsidR="00DA356D" w:rsidRPr="00C303C5">
              <w:rPr>
                <w:rFonts w:eastAsia="Arial" w:cs="Arial"/>
              </w:rPr>
              <w:t xml:space="preserve">ow </w:t>
            </w:r>
            <w:r w:rsidR="00DA356D" w:rsidRPr="00C303C5">
              <w:rPr>
                <w:rFonts w:eastAsia="Arial" w:cs="Arial"/>
                <w:spacing w:val="1"/>
              </w:rPr>
              <w:t>fr</w:t>
            </w:r>
            <w:r w:rsidR="00DA356D" w:rsidRPr="00C303C5">
              <w:rPr>
                <w:rFonts w:eastAsia="Arial" w:cs="Arial"/>
                <w:spacing w:val="-3"/>
              </w:rPr>
              <w:t>o</w:t>
            </w:r>
            <w:r w:rsidR="00DA356D" w:rsidRPr="00C303C5">
              <w:rPr>
                <w:rFonts w:eastAsia="Arial" w:cs="Arial"/>
              </w:rPr>
              <w:t>m</w:t>
            </w:r>
            <w:r w:rsidR="00DA356D" w:rsidRPr="00C303C5">
              <w:rPr>
                <w:rFonts w:eastAsia="Arial" w:cs="Arial"/>
                <w:spacing w:val="2"/>
              </w:rPr>
              <w:t xml:space="preserve"> </w:t>
            </w:r>
            <w:r w:rsidR="00DA356D" w:rsidRPr="00C303C5">
              <w:rPr>
                <w:rFonts w:eastAsia="Arial" w:cs="Arial"/>
              </w:rPr>
              <w:t>op</w:t>
            </w:r>
            <w:r w:rsidR="00DA356D" w:rsidRPr="00C303C5">
              <w:rPr>
                <w:rFonts w:eastAsia="Arial" w:cs="Arial"/>
                <w:spacing w:val="-3"/>
              </w:rPr>
              <w:t>e</w:t>
            </w:r>
            <w:r w:rsidR="00DA356D" w:rsidRPr="00C303C5">
              <w:rPr>
                <w:rFonts w:eastAsia="Arial" w:cs="Arial"/>
                <w:spacing w:val="1"/>
              </w:rPr>
              <w:t>r</w:t>
            </w:r>
            <w:r w:rsidR="00DA356D" w:rsidRPr="00C303C5">
              <w:rPr>
                <w:rFonts w:eastAsia="Arial" w:cs="Arial"/>
              </w:rPr>
              <w:t>a</w:t>
            </w:r>
            <w:r w:rsidR="00DA356D" w:rsidRPr="00C303C5">
              <w:rPr>
                <w:rFonts w:eastAsia="Arial" w:cs="Arial"/>
                <w:spacing w:val="1"/>
              </w:rPr>
              <w:t>t</w:t>
            </w:r>
            <w:r w:rsidR="00DA356D" w:rsidRPr="00C303C5">
              <w:rPr>
                <w:rFonts w:eastAsia="Arial" w:cs="Arial"/>
                <w:spacing w:val="-1"/>
              </w:rPr>
              <w:t>i</w:t>
            </w:r>
            <w:r w:rsidR="00DA356D" w:rsidRPr="00C303C5">
              <w:rPr>
                <w:rFonts w:eastAsia="Arial" w:cs="Arial"/>
              </w:rPr>
              <w:t>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ED9A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303C5">
              <w:rPr>
                <w:rFonts w:cs="Arial"/>
              </w:rPr>
              <w:t>&gt;100%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0B0E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F751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  <w:tr w:rsidR="00DA356D" w:rsidRPr="00C303C5" w14:paraId="680BCB4F" w14:textId="77777777" w:rsidTr="00C916ED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4115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  <w:u w:val="single"/>
              </w:rPr>
            </w:pPr>
            <w:r w:rsidRPr="00C303C5">
              <w:rPr>
                <w:rFonts w:cs="Arial"/>
                <w:u w:val="single"/>
              </w:rPr>
              <w:t>Debt</w:t>
            </w:r>
          </w:p>
          <w:p w14:paraId="0BC7ABD5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C303C5">
              <w:rPr>
                <w:rFonts w:cs="Arial"/>
              </w:rPr>
              <w:t>Equity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BEC2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C303C5">
              <w:rPr>
                <w:rFonts w:cs="Arial"/>
              </w:rPr>
              <w:t>&lt;50%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CAAD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4383" w14:textId="77777777" w:rsidR="00DA356D" w:rsidRPr="00C303C5" w:rsidRDefault="00DA356D" w:rsidP="00DA356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</w:tbl>
    <w:p w14:paraId="278383EC" w14:textId="77777777" w:rsidR="00DA356D" w:rsidRPr="00C303C5" w:rsidRDefault="00DA356D" w:rsidP="00DA356D">
      <w:pPr>
        <w:spacing w:after="0" w:line="240" w:lineRule="auto"/>
      </w:pPr>
    </w:p>
    <w:sectPr w:rsidR="00DA356D" w:rsidRPr="00C303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63B42" w14:textId="77777777" w:rsidR="0046584B" w:rsidRDefault="0046584B" w:rsidP="000B58AF">
      <w:pPr>
        <w:spacing w:after="0" w:line="240" w:lineRule="auto"/>
      </w:pPr>
      <w:r>
        <w:separator/>
      </w:r>
    </w:p>
  </w:endnote>
  <w:endnote w:type="continuationSeparator" w:id="0">
    <w:p w14:paraId="30814E45" w14:textId="77777777" w:rsidR="0046584B" w:rsidRDefault="0046584B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3562" w14:textId="6E65F391" w:rsidR="00C303C5" w:rsidRPr="00C303C5" w:rsidRDefault="00C303C5" w:rsidP="00C303C5">
    <w:pPr>
      <w:pStyle w:val="Header"/>
      <w:tabs>
        <w:tab w:val="clear" w:pos="4513"/>
      </w:tabs>
      <w:jc w:val="right"/>
      <w:rPr>
        <w:rFonts w:ascii="Arial" w:hAnsi="Arial" w:cs="Arial"/>
        <w:sz w:val="18"/>
        <w:szCs w:val="18"/>
        <w:lang w:val="mi-NZ"/>
      </w:rPr>
    </w:pPr>
    <w:r>
      <w:rPr>
        <w:rFonts w:ascii="Arial" w:hAnsi="Arial" w:cs="Arial"/>
        <w:sz w:val="18"/>
        <w:szCs w:val="18"/>
        <w:lang w:val="mi-NZ"/>
      </w:rPr>
      <w:t>Published by the Tertiary Education Commission, February 2016</w:t>
    </w:r>
    <w:r>
      <w:rPr>
        <w:rFonts w:ascii="Arial" w:hAnsi="Arial" w:cs="Arial"/>
        <w:sz w:val="18"/>
        <w:szCs w:val="18"/>
        <w:lang w:val="mi-NZ"/>
      </w:rPr>
      <w:tab/>
    </w:r>
    <w:r w:rsidRPr="00C303C5">
      <w:rPr>
        <w:rFonts w:ascii="Arial" w:hAnsi="Arial" w:cs="Arial"/>
        <w:sz w:val="18"/>
        <w:szCs w:val="18"/>
        <w:lang w:val="mi-NZ"/>
      </w:rPr>
      <w:t>A973454</w:t>
    </w:r>
  </w:p>
  <w:p w14:paraId="4623F057" w14:textId="77777777" w:rsidR="00C303C5" w:rsidRDefault="00C30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1776" w14:textId="77777777" w:rsidR="0046584B" w:rsidRDefault="0046584B" w:rsidP="000B58AF">
      <w:pPr>
        <w:spacing w:after="0" w:line="240" w:lineRule="auto"/>
      </w:pPr>
      <w:r>
        <w:separator/>
      </w:r>
    </w:p>
  </w:footnote>
  <w:footnote w:type="continuationSeparator" w:id="0">
    <w:p w14:paraId="26A476CD" w14:textId="77777777" w:rsidR="0046584B" w:rsidRDefault="0046584B" w:rsidP="000B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375"/>
    <w:multiLevelType w:val="hybridMultilevel"/>
    <w:tmpl w:val="5A861E0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042FA"/>
    <w:multiLevelType w:val="hybridMultilevel"/>
    <w:tmpl w:val="800E3362"/>
    <w:lvl w:ilvl="0" w:tplc="196CBF1E">
      <w:start w:val="1"/>
      <w:numFmt w:val="lowerRoman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1BAA"/>
    <w:multiLevelType w:val="hybridMultilevel"/>
    <w:tmpl w:val="0CCEBDA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620DC"/>
    <w:multiLevelType w:val="hybridMultilevel"/>
    <w:tmpl w:val="6428E734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04348A"/>
    <w:multiLevelType w:val="hybridMultilevel"/>
    <w:tmpl w:val="C0EE13D6"/>
    <w:lvl w:ilvl="0" w:tplc="B2A888C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81EAB"/>
    <w:multiLevelType w:val="hybridMultilevel"/>
    <w:tmpl w:val="55087464"/>
    <w:lvl w:ilvl="0" w:tplc="196CBF1E">
      <w:start w:val="1"/>
      <w:numFmt w:val="lowerRoman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E6609"/>
    <w:multiLevelType w:val="hybridMultilevel"/>
    <w:tmpl w:val="549C54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E5610"/>
    <w:multiLevelType w:val="hybridMultilevel"/>
    <w:tmpl w:val="1AFEE408"/>
    <w:lvl w:ilvl="0" w:tplc="B2A888C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53"/>
    <w:rsid w:val="000B58AF"/>
    <w:rsid w:val="00162A53"/>
    <w:rsid w:val="0019742F"/>
    <w:rsid w:val="001B0257"/>
    <w:rsid w:val="001F0975"/>
    <w:rsid w:val="002B3015"/>
    <w:rsid w:val="00437837"/>
    <w:rsid w:val="0046584B"/>
    <w:rsid w:val="00477F03"/>
    <w:rsid w:val="00526972"/>
    <w:rsid w:val="005C2A4B"/>
    <w:rsid w:val="0074766E"/>
    <w:rsid w:val="00757A22"/>
    <w:rsid w:val="007610D9"/>
    <w:rsid w:val="00827BC5"/>
    <w:rsid w:val="00840CFD"/>
    <w:rsid w:val="009C0EC4"/>
    <w:rsid w:val="00A70B44"/>
    <w:rsid w:val="00AC35BD"/>
    <w:rsid w:val="00B52E74"/>
    <w:rsid w:val="00B64025"/>
    <w:rsid w:val="00BC4128"/>
    <w:rsid w:val="00BC524B"/>
    <w:rsid w:val="00C303C5"/>
    <w:rsid w:val="00CA00E3"/>
    <w:rsid w:val="00DA356D"/>
    <w:rsid w:val="00DA5C41"/>
    <w:rsid w:val="00DB79DF"/>
    <w:rsid w:val="00DE2368"/>
    <w:rsid w:val="00F26D14"/>
    <w:rsid w:val="00F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F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0D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0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4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AF"/>
  </w:style>
  <w:style w:type="paragraph" w:styleId="Footer">
    <w:name w:val="footer"/>
    <w:basedOn w:val="Normal"/>
    <w:link w:val="FooterChar"/>
    <w:uiPriority w:val="99"/>
    <w:unhideWhenUsed/>
    <w:rsid w:val="000B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0D9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0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4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AF"/>
  </w:style>
  <w:style w:type="paragraph" w:styleId="Footer">
    <w:name w:val="footer"/>
    <w:basedOn w:val="Normal"/>
    <w:link w:val="FooterChar"/>
    <w:uiPriority w:val="99"/>
    <w:unhideWhenUsed/>
    <w:rsid w:val="000B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Accountants ANZ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Zowie Murray</dc:creator>
  <cp:lastModifiedBy>Jacob Reid</cp:lastModifiedBy>
  <cp:revision>2</cp:revision>
  <dcterms:created xsi:type="dcterms:W3CDTF">2016-10-06T21:31:00Z</dcterms:created>
  <dcterms:modified xsi:type="dcterms:W3CDTF">2016-10-06T21:31:00Z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A973454</vt:lpwstr>
  </property>
  <property fmtid="{D5CDD505-2E9C-101B-9397-08002B2CF9AE}" pid="4" name="Objective-Title">
    <vt:lpwstr>Illustrative AUP report</vt:lpwstr>
  </property>
  <property fmtid="{D5CDD505-2E9C-101B-9397-08002B2CF9AE}" pid="5" name="Objective-Comment">
    <vt:lpwstr/>
  </property>
  <property fmtid="{D5CDD505-2E9C-101B-9397-08002B2CF9AE}" pid="6" name="Objective-CreationStamp">
    <vt:filetime>2016-02-17T02:55:00Z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2016-02-28T22:51:46Z</vt:filetime>
  </property>
  <property fmtid="{D5CDD505-2E9C-101B-9397-08002B2CF9AE}" pid="11" name="Objective-Owner">
    <vt:lpwstr>Bruce Lynch</vt:lpwstr>
  </property>
  <property fmtid="{D5CDD505-2E9C-101B-9397-08002B2CF9AE}" pid="12" name="Objective-Path">
    <vt:lpwstr>Objective Global Folder:TEC Global Folder:Tertiary Education Organisations:Sector:TO-B- FINANCIAL MONITORING -NO-T:2016 PTE Financial Monitoring - Sector:</vt:lpwstr>
  </property>
  <property fmtid="{D5CDD505-2E9C-101B-9397-08002B2CF9AE}" pid="13" name="Objective-Parent">
    <vt:lpwstr>2016 PTE Financial Monitoring - Sector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TO-B-16/06-6266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</Properties>
</file>